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5C06" w:rsidRPr="00606492" w:rsidRDefault="00935C06" w:rsidP="00606492">
      <w:pPr>
        <w:pStyle w:val="ListParagraph"/>
        <w:numPr>
          <w:ilvl w:val="0"/>
          <w:numId w:val="8"/>
        </w:numPr>
        <w:autoSpaceDE w:val="0"/>
        <w:autoSpaceDN w:val="0"/>
        <w:adjustRightInd w:val="0"/>
        <w:spacing w:after="0" w:line="240" w:lineRule="auto"/>
        <w:ind w:left="288"/>
        <w:jc w:val="both"/>
        <w:rPr>
          <w:rFonts w:ascii="Arial" w:hAnsi="Arial" w:cs="Arial"/>
          <w:color w:val="231F20"/>
          <w:sz w:val="24"/>
          <w:szCs w:val="24"/>
        </w:rPr>
      </w:pPr>
      <w:r w:rsidRPr="00606492">
        <w:rPr>
          <w:rFonts w:ascii="Arial" w:hAnsi="Arial" w:cs="Arial"/>
          <w:color w:val="231F20"/>
          <w:sz w:val="24"/>
          <w:szCs w:val="24"/>
        </w:rPr>
        <w:t xml:space="preserve">In section 35AD of the Income-tax Act, with effect from the </w:t>
      </w:r>
      <w:r w:rsidRPr="00606492">
        <w:rPr>
          <w:rFonts w:ascii="Arial" w:hAnsi="Arial" w:cs="Arial"/>
          <w:b/>
          <w:color w:val="231F20"/>
          <w:sz w:val="24"/>
          <w:szCs w:val="24"/>
        </w:rPr>
        <w:t>1st day of April, 2015</w:t>
      </w:r>
      <w:r w:rsidRPr="00606492">
        <w:rPr>
          <w:rFonts w:ascii="Arial" w:hAnsi="Arial" w:cs="Arial"/>
          <w:color w:val="231F20"/>
          <w:sz w:val="24"/>
          <w:szCs w:val="24"/>
        </w:rPr>
        <w:t>,––</w:t>
      </w:r>
    </w:p>
    <w:p w:rsidR="00935C06" w:rsidRPr="00606492" w:rsidRDefault="00935C06" w:rsidP="00606492">
      <w:pPr>
        <w:pStyle w:val="ListParagraph"/>
        <w:numPr>
          <w:ilvl w:val="0"/>
          <w:numId w:val="1"/>
        </w:numPr>
        <w:autoSpaceDE w:val="0"/>
        <w:autoSpaceDN w:val="0"/>
        <w:adjustRightInd w:val="0"/>
        <w:spacing w:after="0" w:line="240" w:lineRule="auto"/>
        <w:ind w:left="288"/>
        <w:jc w:val="both"/>
        <w:rPr>
          <w:rFonts w:ascii="Arial" w:hAnsi="Arial" w:cs="Arial"/>
          <w:color w:val="231F20"/>
          <w:sz w:val="24"/>
          <w:szCs w:val="24"/>
        </w:rPr>
      </w:pPr>
      <w:r w:rsidRPr="00606492">
        <w:rPr>
          <w:rFonts w:ascii="Arial" w:hAnsi="Arial" w:cs="Arial"/>
          <w:color w:val="231F20"/>
          <w:sz w:val="24"/>
          <w:szCs w:val="24"/>
        </w:rPr>
        <w:t>in sub-section (</w:t>
      </w:r>
      <w:r w:rsidRPr="00606492">
        <w:rPr>
          <w:rFonts w:ascii="Arial" w:hAnsi="Arial" w:cs="Arial"/>
          <w:i/>
          <w:iCs/>
          <w:color w:val="231F20"/>
          <w:sz w:val="24"/>
          <w:szCs w:val="24"/>
        </w:rPr>
        <w:t>3</w:t>
      </w:r>
      <w:r w:rsidRPr="00606492">
        <w:rPr>
          <w:rFonts w:ascii="Arial" w:hAnsi="Arial" w:cs="Arial"/>
          <w:color w:val="231F20"/>
          <w:sz w:val="24"/>
          <w:szCs w:val="24"/>
        </w:rPr>
        <w:t>), after the words “no deduction shall be allowed under the provisions of”, the words, figures and letters “section 10AA and” shall be inserted;</w:t>
      </w:r>
    </w:p>
    <w:p w:rsidR="00935C06" w:rsidRDefault="00935C06" w:rsidP="00935C06">
      <w:pPr>
        <w:autoSpaceDE w:val="0"/>
        <w:autoSpaceDN w:val="0"/>
        <w:adjustRightInd w:val="0"/>
        <w:spacing w:after="0" w:line="240" w:lineRule="auto"/>
        <w:jc w:val="both"/>
        <w:rPr>
          <w:rFonts w:ascii="Arial" w:hAnsi="Arial" w:cs="Arial"/>
          <w:color w:val="231F20"/>
          <w:sz w:val="24"/>
          <w:szCs w:val="24"/>
        </w:rPr>
      </w:pPr>
    </w:p>
    <w:p w:rsidR="00935C06" w:rsidRPr="00606492" w:rsidRDefault="00935C06" w:rsidP="00606492">
      <w:pPr>
        <w:pStyle w:val="ListParagraph"/>
        <w:numPr>
          <w:ilvl w:val="0"/>
          <w:numId w:val="1"/>
        </w:numPr>
        <w:autoSpaceDE w:val="0"/>
        <w:autoSpaceDN w:val="0"/>
        <w:adjustRightInd w:val="0"/>
        <w:spacing w:after="0" w:line="240" w:lineRule="auto"/>
        <w:ind w:left="288"/>
        <w:jc w:val="both"/>
        <w:rPr>
          <w:rFonts w:ascii="Arial" w:hAnsi="Arial" w:cs="Arial"/>
          <w:color w:val="231F20"/>
          <w:sz w:val="24"/>
          <w:szCs w:val="24"/>
        </w:rPr>
      </w:pPr>
      <w:r w:rsidRPr="00606492">
        <w:rPr>
          <w:rFonts w:ascii="Arial" w:hAnsi="Arial" w:cs="Arial"/>
          <w:color w:val="231F20"/>
          <w:sz w:val="24"/>
          <w:szCs w:val="24"/>
        </w:rPr>
        <w:t>in sub-section (</w:t>
      </w:r>
      <w:r w:rsidRPr="00606492">
        <w:rPr>
          <w:rFonts w:ascii="Arial" w:hAnsi="Arial" w:cs="Arial"/>
          <w:i/>
          <w:iCs/>
          <w:color w:val="231F20"/>
          <w:sz w:val="24"/>
          <w:szCs w:val="24"/>
        </w:rPr>
        <w:t>5</w:t>
      </w:r>
      <w:r w:rsidRPr="00606492">
        <w:rPr>
          <w:rFonts w:ascii="Arial" w:hAnsi="Arial" w:cs="Arial"/>
          <w:color w:val="231F20"/>
          <w:sz w:val="24"/>
          <w:szCs w:val="24"/>
        </w:rPr>
        <w:t>),—</w:t>
      </w:r>
    </w:p>
    <w:p w:rsidR="00935C06" w:rsidRPr="00606492" w:rsidRDefault="00935C06" w:rsidP="00606492">
      <w:pPr>
        <w:pStyle w:val="ListParagraph"/>
        <w:numPr>
          <w:ilvl w:val="0"/>
          <w:numId w:val="3"/>
        </w:numPr>
        <w:autoSpaceDE w:val="0"/>
        <w:autoSpaceDN w:val="0"/>
        <w:adjustRightInd w:val="0"/>
        <w:spacing w:after="0" w:line="240" w:lineRule="auto"/>
        <w:jc w:val="both"/>
        <w:rPr>
          <w:rFonts w:ascii="Arial" w:hAnsi="Arial" w:cs="Arial"/>
          <w:color w:val="231F20"/>
          <w:sz w:val="24"/>
          <w:szCs w:val="24"/>
        </w:rPr>
      </w:pPr>
      <w:r w:rsidRPr="00606492">
        <w:rPr>
          <w:rFonts w:ascii="Arial" w:hAnsi="Arial" w:cs="Arial"/>
          <w:color w:val="231F20"/>
          <w:sz w:val="24"/>
          <w:szCs w:val="24"/>
        </w:rPr>
        <w:t>in clause (</w:t>
      </w:r>
      <w:r w:rsidRPr="00606492">
        <w:rPr>
          <w:rFonts w:ascii="Arial" w:hAnsi="Arial" w:cs="Arial"/>
          <w:i/>
          <w:iCs/>
          <w:color w:val="231F20"/>
          <w:sz w:val="24"/>
          <w:szCs w:val="24"/>
        </w:rPr>
        <w:t>ah</w:t>
      </w:r>
      <w:r w:rsidRPr="00606492">
        <w:rPr>
          <w:rFonts w:ascii="Arial" w:hAnsi="Arial" w:cs="Arial"/>
          <w:color w:val="231F20"/>
          <w:sz w:val="24"/>
          <w:szCs w:val="24"/>
        </w:rPr>
        <w:t>), the word “and” occurring at the end, shall be omitted;</w:t>
      </w:r>
    </w:p>
    <w:p w:rsidR="00935C06" w:rsidRDefault="00935C06" w:rsidP="00606492">
      <w:pPr>
        <w:pStyle w:val="ListParagraph"/>
        <w:numPr>
          <w:ilvl w:val="0"/>
          <w:numId w:val="3"/>
        </w:numPr>
        <w:autoSpaceDE w:val="0"/>
        <w:autoSpaceDN w:val="0"/>
        <w:adjustRightInd w:val="0"/>
        <w:spacing w:after="0" w:line="240" w:lineRule="auto"/>
        <w:jc w:val="both"/>
        <w:rPr>
          <w:rFonts w:ascii="Arial" w:hAnsi="Arial" w:cs="Arial"/>
          <w:color w:val="231F20"/>
          <w:sz w:val="24"/>
          <w:szCs w:val="24"/>
        </w:rPr>
      </w:pPr>
      <w:r w:rsidRPr="00606492">
        <w:rPr>
          <w:rFonts w:ascii="Arial" w:hAnsi="Arial" w:cs="Arial"/>
          <w:color w:val="231F20"/>
          <w:sz w:val="24"/>
          <w:szCs w:val="24"/>
        </w:rPr>
        <w:t>after clause (</w:t>
      </w:r>
      <w:r w:rsidRPr="00606492">
        <w:rPr>
          <w:rFonts w:ascii="Arial" w:hAnsi="Arial" w:cs="Arial"/>
          <w:i/>
          <w:iCs/>
          <w:color w:val="231F20"/>
          <w:sz w:val="24"/>
          <w:szCs w:val="24"/>
        </w:rPr>
        <w:t>ah</w:t>
      </w:r>
      <w:r w:rsidRPr="00606492">
        <w:rPr>
          <w:rFonts w:ascii="Arial" w:hAnsi="Arial" w:cs="Arial"/>
          <w:color w:val="231F20"/>
          <w:sz w:val="24"/>
          <w:szCs w:val="24"/>
        </w:rPr>
        <w:t>), the following clauses shall be inserted, namely:––</w:t>
      </w:r>
    </w:p>
    <w:p w:rsidR="00606492" w:rsidRPr="00606492" w:rsidRDefault="00606492" w:rsidP="00606492">
      <w:pPr>
        <w:pStyle w:val="ListParagraph"/>
        <w:autoSpaceDE w:val="0"/>
        <w:autoSpaceDN w:val="0"/>
        <w:adjustRightInd w:val="0"/>
        <w:spacing w:after="0" w:line="240" w:lineRule="auto"/>
        <w:jc w:val="both"/>
        <w:rPr>
          <w:rFonts w:ascii="Arial" w:hAnsi="Arial" w:cs="Arial"/>
          <w:color w:val="231F20"/>
          <w:sz w:val="24"/>
          <w:szCs w:val="24"/>
        </w:rPr>
      </w:pPr>
    </w:p>
    <w:p w:rsidR="00935C06" w:rsidRDefault="00935C06" w:rsidP="00606492">
      <w:pPr>
        <w:pStyle w:val="ListParagraph"/>
        <w:autoSpaceDE w:val="0"/>
        <w:autoSpaceDN w:val="0"/>
        <w:adjustRightInd w:val="0"/>
        <w:spacing w:after="0" w:line="240" w:lineRule="auto"/>
        <w:jc w:val="both"/>
        <w:rPr>
          <w:rFonts w:ascii="Arial" w:hAnsi="Arial" w:cs="Arial"/>
          <w:color w:val="231F20"/>
          <w:sz w:val="24"/>
          <w:szCs w:val="24"/>
        </w:rPr>
      </w:pPr>
      <w:r w:rsidRPr="00606492">
        <w:rPr>
          <w:rFonts w:ascii="Arial" w:hAnsi="Arial" w:cs="Arial"/>
          <w:color w:val="231F20"/>
          <w:sz w:val="24"/>
          <w:szCs w:val="24"/>
        </w:rPr>
        <w:t>“</w:t>
      </w:r>
      <w:r w:rsidRPr="00606492">
        <w:rPr>
          <w:rFonts w:ascii="Arial" w:hAnsi="Arial" w:cs="Arial"/>
          <w:b/>
          <w:color w:val="231F20"/>
          <w:sz w:val="24"/>
          <w:szCs w:val="24"/>
        </w:rPr>
        <w:t>(</w:t>
      </w:r>
      <w:proofErr w:type="spellStart"/>
      <w:r w:rsidRPr="00606492">
        <w:rPr>
          <w:rFonts w:ascii="Arial" w:hAnsi="Arial" w:cs="Arial"/>
          <w:b/>
          <w:i/>
          <w:iCs/>
          <w:color w:val="231F20"/>
          <w:sz w:val="24"/>
          <w:szCs w:val="24"/>
        </w:rPr>
        <w:t>ai</w:t>
      </w:r>
      <w:proofErr w:type="spellEnd"/>
      <w:r w:rsidRPr="00606492">
        <w:rPr>
          <w:rFonts w:ascii="Arial" w:hAnsi="Arial" w:cs="Arial"/>
          <w:b/>
          <w:color w:val="231F20"/>
          <w:sz w:val="24"/>
          <w:szCs w:val="24"/>
        </w:rPr>
        <w:t>)</w:t>
      </w:r>
      <w:r w:rsidRPr="00606492">
        <w:rPr>
          <w:rFonts w:ascii="Arial" w:hAnsi="Arial" w:cs="Arial"/>
          <w:color w:val="231F20"/>
          <w:sz w:val="24"/>
          <w:szCs w:val="24"/>
        </w:rPr>
        <w:t xml:space="preserve"> on or after the 1st day of April, 2014, where the specified business is in the nature of </w:t>
      </w:r>
      <w:r w:rsidRPr="00606492">
        <w:rPr>
          <w:rFonts w:ascii="Arial" w:hAnsi="Arial" w:cs="Arial"/>
          <w:b/>
          <w:color w:val="231F20"/>
          <w:sz w:val="24"/>
          <w:szCs w:val="24"/>
        </w:rPr>
        <w:t>laying and operating a slurry pipeline for the transportation of iron ore</w:t>
      </w:r>
      <w:r w:rsidRPr="00606492">
        <w:rPr>
          <w:rFonts w:ascii="Arial" w:hAnsi="Arial" w:cs="Arial"/>
          <w:color w:val="231F20"/>
          <w:sz w:val="24"/>
          <w:szCs w:val="24"/>
        </w:rPr>
        <w:t>;</w:t>
      </w:r>
    </w:p>
    <w:p w:rsidR="00606492" w:rsidRPr="00606492" w:rsidRDefault="00606492" w:rsidP="00606492">
      <w:pPr>
        <w:pStyle w:val="ListParagraph"/>
        <w:autoSpaceDE w:val="0"/>
        <w:autoSpaceDN w:val="0"/>
        <w:adjustRightInd w:val="0"/>
        <w:spacing w:after="0" w:line="240" w:lineRule="auto"/>
        <w:jc w:val="both"/>
        <w:rPr>
          <w:rFonts w:ascii="Arial" w:hAnsi="Arial" w:cs="Arial"/>
          <w:color w:val="231F20"/>
          <w:sz w:val="24"/>
          <w:szCs w:val="24"/>
        </w:rPr>
      </w:pPr>
    </w:p>
    <w:p w:rsidR="00935C06" w:rsidRPr="00606492" w:rsidRDefault="00935C06" w:rsidP="00606492">
      <w:pPr>
        <w:pStyle w:val="ListParagraph"/>
        <w:autoSpaceDE w:val="0"/>
        <w:autoSpaceDN w:val="0"/>
        <w:adjustRightInd w:val="0"/>
        <w:spacing w:after="0" w:line="240" w:lineRule="auto"/>
        <w:jc w:val="both"/>
        <w:rPr>
          <w:rFonts w:ascii="Arial" w:hAnsi="Arial" w:cs="Arial"/>
          <w:color w:val="231F20"/>
          <w:sz w:val="24"/>
          <w:szCs w:val="24"/>
        </w:rPr>
      </w:pPr>
      <w:r w:rsidRPr="00606492">
        <w:rPr>
          <w:rFonts w:ascii="Arial" w:hAnsi="Arial" w:cs="Arial"/>
          <w:b/>
          <w:color w:val="231F20"/>
          <w:sz w:val="24"/>
          <w:szCs w:val="24"/>
        </w:rPr>
        <w:t>(</w:t>
      </w:r>
      <w:proofErr w:type="spellStart"/>
      <w:r w:rsidRPr="00606492">
        <w:rPr>
          <w:rFonts w:ascii="Arial" w:hAnsi="Arial" w:cs="Arial"/>
          <w:b/>
          <w:i/>
          <w:iCs/>
          <w:color w:val="231F20"/>
          <w:sz w:val="24"/>
          <w:szCs w:val="24"/>
        </w:rPr>
        <w:t>aj</w:t>
      </w:r>
      <w:proofErr w:type="spellEnd"/>
      <w:r w:rsidRPr="00606492">
        <w:rPr>
          <w:rFonts w:ascii="Arial" w:hAnsi="Arial" w:cs="Arial"/>
          <w:b/>
          <w:color w:val="231F20"/>
          <w:sz w:val="24"/>
          <w:szCs w:val="24"/>
        </w:rPr>
        <w:t>)</w:t>
      </w:r>
      <w:r w:rsidRPr="00606492">
        <w:rPr>
          <w:rFonts w:ascii="Arial" w:hAnsi="Arial" w:cs="Arial"/>
          <w:color w:val="231F20"/>
          <w:sz w:val="24"/>
          <w:szCs w:val="24"/>
        </w:rPr>
        <w:t xml:space="preserve"> on or after the 1st day of April, 2014, where the specified business is in the nature of </w:t>
      </w:r>
      <w:r w:rsidRPr="00606492">
        <w:rPr>
          <w:rFonts w:ascii="Arial" w:hAnsi="Arial" w:cs="Arial"/>
          <w:b/>
          <w:color w:val="231F20"/>
          <w:sz w:val="24"/>
          <w:szCs w:val="24"/>
        </w:rPr>
        <w:t>setting up and operating a semi-conductor wafer fabrication manufacturing unit</w:t>
      </w:r>
      <w:r w:rsidRPr="00606492">
        <w:rPr>
          <w:rFonts w:ascii="Arial" w:hAnsi="Arial" w:cs="Arial"/>
          <w:color w:val="231F20"/>
          <w:sz w:val="24"/>
          <w:szCs w:val="24"/>
        </w:rPr>
        <w:t>, and which is notified by the Board in accordance with such guidelines as may be prescribed; and”;</w:t>
      </w:r>
    </w:p>
    <w:p w:rsidR="00935C06" w:rsidRDefault="00935C06" w:rsidP="00935C06">
      <w:pPr>
        <w:autoSpaceDE w:val="0"/>
        <w:autoSpaceDN w:val="0"/>
        <w:adjustRightInd w:val="0"/>
        <w:spacing w:after="0" w:line="240" w:lineRule="auto"/>
        <w:jc w:val="both"/>
        <w:rPr>
          <w:rFonts w:ascii="Arial" w:hAnsi="Arial" w:cs="Arial"/>
          <w:color w:val="231F20"/>
          <w:sz w:val="24"/>
          <w:szCs w:val="24"/>
        </w:rPr>
      </w:pPr>
    </w:p>
    <w:p w:rsidR="00935C06" w:rsidRPr="00606492" w:rsidRDefault="00935C06" w:rsidP="00606492">
      <w:pPr>
        <w:pStyle w:val="ListParagraph"/>
        <w:numPr>
          <w:ilvl w:val="0"/>
          <w:numId w:val="5"/>
        </w:numPr>
        <w:autoSpaceDE w:val="0"/>
        <w:autoSpaceDN w:val="0"/>
        <w:adjustRightInd w:val="0"/>
        <w:spacing w:after="0" w:line="240" w:lineRule="auto"/>
        <w:ind w:left="288"/>
        <w:jc w:val="both"/>
        <w:rPr>
          <w:rFonts w:ascii="Arial" w:hAnsi="Arial" w:cs="Arial"/>
          <w:color w:val="231F20"/>
          <w:sz w:val="24"/>
          <w:szCs w:val="24"/>
        </w:rPr>
      </w:pPr>
      <w:r w:rsidRPr="00606492">
        <w:rPr>
          <w:rFonts w:ascii="Arial" w:hAnsi="Arial" w:cs="Arial"/>
          <w:color w:val="231F20"/>
          <w:sz w:val="24"/>
          <w:szCs w:val="24"/>
        </w:rPr>
        <w:t>after sub-section (</w:t>
      </w:r>
      <w:r w:rsidRPr="00606492">
        <w:rPr>
          <w:rFonts w:ascii="Arial" w:hAnsi="Arial" w:cs="Arial"/>
          <w:i/>
          <w:iCs/>
          <w:color w:val="231F20"/>
          <w:sz w:val="24"/>
          <w:szCs w:val="24"/>
        </w:rPr>
        <w:t>7</w:t>
      </w:r>
      <w:r w:rsidRPr="00606492">
        <w:rPr>
          <w:rFonts w:ascii="Arial" w:hAnsi="Arial" w:cs="Arial"/>
          <w:color w:val="231F20"/>
          <w:sz w:val="24"/>
          <w:szCs w:val="24"/>
        </w:rPr>
        <w:t>), the following sub-sections shall be inserted, namely:––</w:t>
      </w:r>
    </w:p>
    <w:p w:rsidR="00935C06" w:rsidRPr="00606492" w:rsidRDefault="00935C06" w:rsidP="00606492">
      <w:pPr>
        <w:pStyle w:val="ListParagraph"/>
        <w:numPr>
          <w:ilvl w:val="0"/>
          <w:numId w:val="6"/>
        </w:numPr>
        <w:autoSpaceDE w:val="0"/>
        <w:autoSpaceDN w:val="0"/>
        <w:adjustRightInd w:val="0"/>
        <w:spacing w:after="0" w:line="240" w:lineRule="auto"/>
        <w:jc w:val="both"/>
        <w:rPr>
          <w:rFonts w:ascii="Arial" w:hAnsi="Arial" w:cs="Arial"/>
          <w:color w:val="231F20"/>
          <w:sz w:val="24"/>
          <w:szCs w:val="24"/>
        </w:rPr>
      </w:pPr>
      <w:r w:rsidRPr="00606492">
        <w:rPr>
          <w:rFonts w:ascii="Arial" w:hAnsi="Arial" w:cs="Arial"/>
          <w:color w:val="231F20"/>
          <w:sz w:val="24"/>
          <w:szCs w:val="24"/>
        </w:rPr>
        <w:t>‘(</w:t>
      </w:r>
      <w:r w:rsidRPr="00606492">
        <w:rPr>
          <w:rFonts w:ascii="Arial" w:hAnsi="Arial" w:cs="Arial"/>
          <w:i/>
          <w:iCs/>
          <w:color w:val="231F20"/>
          <w:sz w:val="24"/>
          <w:szCs w:val="24"/>
        </w:rPr>
        <w:t>7A</w:t>
      </w:r>
      <w:r w:rsidRPr="00606492">
        <w:rPr>
          <w:rFonts w:ascii="Arial" w:hAnsi="Arial" w:cs="Arial"/>
          <w:color w:val="231F20"/>
          <w:sz w:val="24"/>
          <w:szCs w:val="24"/>
        </w:rPr>
        <w:t xml:space="preserve">) Any asset in respect of which a deduction is claimed and allowed under this section </w:t>
      </w:r>
      <w:r w:rsidRPr="00606492">
        <w:rPr>
          <w:rFonts w:ascii="Arial" w:hAnsi="Arial" w:cs="Arial"/>
          <w:b/>
          <w:color w:val="231F20"/>
          <w:sz w:val="24"/>
          <w:szCs w:val="24"/>
        </w:rPr>
        <w:t>shall be used</w:t>
      </w:r>
      <w:r w:rsidRPr="00606492">
        <w:rPr>
          <w:rFonts w:ascii="Arial" w:hAnsi="Arial" w:cs="Arial"/>
          <w:color w:val="231F20"/>
          <w:sz w:val="24"/>
          <w:szCs w:val="24"/>
        </w:rPr>
        <w:t xml:space="preserve"> only for the specified business, </w:t>
      </w:r>
      <w:r w:rsidRPr="00606492">
        <w:rPr>
          <w:rFonts w:ascii="Arial" w:hAnsi="Arial" w:cs="Arial"/>
          <w:b/>
          <w:color w:val="231F20"/>
          <w:sz w:val="24"/>
          <w:szCs w:val="24"/>
        </w:rPr>
        <w:t>for a period of eight years beginning with the previous year</w:t>
      </w:r>
      <w:r w:rsidRPr="00606492">
        <w:rPr>
          <w:rFonts w:ascii="Arial" w:hAnsi="Arial" w:cs="Arial"/>
          <w:color w:val="231F20"/>
          <w:sz w:val="24"/>
          <w:szCs w:val="24"/>
        </w:rPr>
        <w:t xml:space="preserve"> in which such asset is acquired or constructed.</w:t>
      </w:r>
    </w:p>
    <w:p w:rsidR="00935C06" w:rsidRDefault="00935C06" w:rsidP="00935C06">
      <w:pPr>
        <w:autoSpaceDE w:val="0"/>
        <w:autoSpaceDN w:val="0"/>
        <w:adjustRightInd w:val="0"/>
        <w:spacing w:after="0" w:line="240" w:lineRule="auto"/>
        <w:jc w:val="both"/>
        <w:rPr>
          <w:rFonts w:ascii="Arial" w:hAnsi="Arial" w:cs="Arial"/>
          <w:color w:val="231F20"/>
          <w:sz w:val="24"/>
          <w:szCs w:val="24"/>
        </w:rPr>
      </w:pPr>
    </w:p>
    <w:p w:rsidR="00935C06" w:rsidRPr="00606492" w:rsidRDefault="00935C06" w:rsidP="00606492">
      <w:pPr>
        <w:pStyle w:val="ListParagraph"/>
        <w:numPr>
          <w:ilvl w:val="0"/>
          <w:numId w:val="6"/>
        </w:numPr>
        <w:autoSpaceDE w:val="0"/>
        <w:autoSpaceDN w:val="0"/>
        <w:adjustRightInd w:val="0"/>
        <w:spacing w:after="0" w:line="240" w:lineRule="auto"/>
        <w:jc w:val="both"/>
        <w:rPr>
          <w:rFonts w:ascii="Arial" w:hAnsi="Arial" w:cs="Arial"/>
          <w:color w:val="231F20"/>
          <w:sz w:val="24"/>
          <w:szCs w:val="24"/>
        </w:rPr>
      </w:pPr>
      <w:r w:rsidRPr="00606492">
        <w:rPr>
          <w:rFonts w:ascii="Arial" w:hAnsi="Arial" w:cs="Arial"/>
          <w:color w:val="231F20"/>
          <w:sz w:val="24"/>
          <w:szCs w:val="24"/>
        </w:rPr>
        <w:t>(</w:t>
      </w:r>
      <w:r w:rsidRPr="00606492">
        <w:rPr>
          <w:rFonts w:ascii="Arial" w:hAnsi="Arial" w:cs="Arial"/>
          <w:i/>
          <w:iCs/>
          <w:color w:val="231F20"/>
          <w:sz w:val="24"/>
          <w:szCs w:val="24"/>
        </w:rPr>
        <w:t>7B</w:t>
      </w:r>
      <w:r w:rsidRPr="00606492">
        <w:rPr>
          <w:rFonts w:ascii="Arial" w:hAnsi="Arial" w:cs="Arial"/>
          <w:color w:val="231F20"/>
          <w:sz w:val="24"/>
          <w:szCs w:val="24"/>
        </w:rPr>
        <w:t>) Where any asset, in respect of which a deduction is claimed and allowed under this section, is used for a purpose other than the specified business during the period specified in sub-section (</w:t>
      </w:r>
      <w:r w:rsidRPr="00606492">
        <w:rPr>
          <w:rFonts w:ascii="Arial" w:hAnsi="Arial" w:cs="Arial"/>
          <w:i/>
          <w:iCs/>
          <w:color w:val="231F20"/>
          <w:sz w:val="24"/>
          <w:szCs w:val="24"/>
        </w:rPr>
        <w:t>7A</w:t>
      </w:r>
      <w:r w:rsidRPr="00606492">
        <w:rPr>
          <w:rFonts w:ascii="Arial" w:hAnsi="Arial" w:cs="Arial"/>
          <w:color w:val="231F20"/>
          <w:sz w:val="24"/>
          <w:szCs w:val="24"/>
        </w:rPr>
        <w:t>), otherwise than by way of a mode referred to in clause (</w:t>
      </w:r>
      <w:r w:rsidRPr="00606492">
        <w:rPr>
          <w:rFonts w:ascii="Arial" w:hAnsi="Arial" w:cs="Arial"/>
          <w:i/>
          <w:iCs/>
          <w:color w:val="231F20"/>
          <w:sz w:val="24"/>
          <w:szCs w:val="24"/>
        </w:rPr>
        <w:t>vii</w:t>
      </w:r>
      <w:r w:rsidRPr="00606492">
        <w:rPr>
          <w:rFonts w:ascii="Arial" w:hAnsi="Arial" w:cs="Arial"/>
          <w:color w:val="231F20"/>
          <w:sz w:val="24"/>
          <w:szCs w:val="24"/>
        </w:rPr>
        <w:t xml:space="preserve">) of section 28, </w:t>
      </w:r>
      <w:r w:rsidRPr="00606492">
        <w:rPr>
          <w:rFonts w:ascii="Arial" w:hAnsi="Arial" w:cs="Arial"/>
          <w:color w:val="231F20"/>
          <w:sz w:val="24"/>
          <w:szCs w:val="24"/>
          <w:u w:val="single"/>
        </w:rPr>
        <w:t>the total amount of deduction so claimed and allowed</w:t>
      </w:r>
      <w:r w:rsidRPr="00606492">
        <w:rPr>
          <w:rFonts w:ascii="Arial" w:hAnsi="Arial" w:cs="Arial"/>
          <w:color w:val="231F20"/>
          <w:sz w:val="24"/>
          <w:szCs w:val="24"/>
        </w:rPr>
        <w:t xml:space="preserve"> in one or more previous years, </w:t>
      </w:r>
      <w:r w:rsidRPr="00606492">
        <w:rPr>
          <w:rFonts w:ascii="Arial" w:hAnsi="Arial" w:cs="Arial"/>
          <w:color w:val="231F20"/>
          <w:sz w:val="24"/>
          <w:szCs w:val="24"/>
          <w:u w:val="single"/>
        </w:rPr>
        <w:t>as reduced by the amount of depreciation allowable in accordance with the provisions of section 32</w:t>
      </w:r>
      <w:r w:rsidRPr="00606492">
        <w:rPr>
          <w:rFonts w:ascii="Arial" w:hAnsi="Arial" w:cs="Arial"/>
          <w:color w:val="231F20"/>
          <w:sz w:val="24"/>
          <w:szCs w:val="24"/>
        </w:rPr>
        <w:t xml:space="preserve">, as if no deduction under this section was allowed, </w:t>
      </w:r>
      <w:r w:rsidRPr="00606492">
        <w:rPr>
          <w:rFonts w:ascii="Arial" w:hAnsi="Arial" w:cs="Arial"/>
          <w:color w:val="231F20"/>
          <w:sz w:val="24"/>
          <w:szCs w:val="24"/>
          <w:u w:val="single"/>
        </w:rPr>
        <w:t xml:space="preserve">shall be deemed to be the income of the </w:t>
      </w:r>
      <w:proofErr w:type="spellStart"/>
      <w:r w:rsidRPr="00606492">
        <w:rPr>
          <w:rFonts w:ascii="Arial" w:hAnsi="Arial" w:cs="Arial"/>
          <w:color w:val="231F20"/>
          <w:sz w:val="24"/>
          <w:szCs w:val="24"/>
          <w:u w:val="single"/>
        </w:rPr>
        <w:t>assessee</w:t>
      </w:r>
      <w:proofErr w:type="spellEnd"/>
      <w:r w:rsidRPr="00606492">
        <w:rPr>
          <w:rFonts w:ascii="Arial" w:hAnsi="Arial" w:cs="Arial"/>
          <w:color w:val="231F20"/>
          <w:sz w:val="24"/>
          <w:szCs w:val="24"/>
        </w:rPr>
        <w:t xml:space="preserve"> chargeable under the head “Profits and gains of business or profession” </w:t>
      </w:r>
      <w:r w:rsidRPr="00606492">
        <w:rPr>
          <w:rFonts w:ascii="Arial" w:hAnsi="Arial" w:cs="Arial"/>
          <w:color w:val="231F20"/>
          <w:sz w:val="24"/>
          <w:szCs w:val="24"/>
          <w:u w:val="single"/>
        </w:rPr>
        <w:t>of the previous year in which the asset is so used</w:t>
      </w:r>
      <w:r w:rsidRPr="00606492">
        <w:rPr>
          <w:rFonts w:ascii="Arial" w:hAnsi="Arial" w:cs="Arial"/>
          <w:color w:val="231F20"/>
          <w:sz w:val="24"/>
          <w:szCs w:val="24"/>
        </w:rPr>
        <w:t>.</w:t>
      </w:r>
    </w:p>
    <w:p w:rsidR="00935C06" w:rsidRDefault="00935C06" w:rsidP="00935C06">
      <w:pPr>
        <w:autoSpaceDE w:val="0"/>
        <w:autoSpaceDN w:val="0"/>
        <w:adjustRightInd w:val="0"/>
        <w:spacing w:after="0" w:line="240" w:lineRule="auto"/>
        <w:jc w:val="both"/>
        <w:rPr>
          <w:rFonts w:ascii="Arial" w:hAnsi="Arial" w:cs="Arial"/>
          <w:color w:val="231F20"/>
          <w:sz w:val="24"/>
          <w:szCs w:val="24"/>
        </w:rPr>
      </w:pPr>
    </w:p>
    <w:p w:rsidR="00935C06" w:rsidRPr="00606492" w:rsidRDefault="00935C06" w:rsidP="00606492">
      <w:pPr>
        <w:pStyle w:val="ListParagraph"/>
        <w:numPr>
          <w:ilvl w:val="0"/>
          <w:numId w:val="6"/>
        </w:numPr>
        <w:autoSpaceDE w:val="0"/>
        <w:autoSpaceDN w:val="0"/>
        <w:adjustRightInd w:val="0"/>
        <w:spacing w:after="0" w:line="240" w:lineRule="auto"/>
        <w:jc w:val="both"/>
        <w:rPr>
          <w:rFonts w:ascii="Arial" w:hAnsi="Arial" w:cs="Arial"/>
          <w:color w:val="231F20"/>
          <w:sz w:val="24"/>
          <w:szCs w:val="24"/>
        </w:rPr>
      </w:pPr>
      <w:r w:rsidRPr="00606492">
        <w:rPr>
          <w:rFonts w:ascii="Arial" w:hAnsi="Arial" w:cs="Arial"/>
          <w:color w:val="231F20"/>
          <w:sz w:val="24"/>
          <w:szCs w:val="24"/>
        </w:rPr>
        <w:t>(</w:t>
      </w:r>
      <w:r w:rsidRPr="00606492">
        <w:rPr>
          <w:rFonts w:ascii="Arial" w:hAnsi="Arial" w:cs="Arial"/>
          <w:i/>
          <w:iCs/>
          <w:color w:val="231F20"/>
          <w:sz w:val="24"/>
          <w:szCs w:val="24"/>
        </w:rPr>
        <w:t>7C</w:t>
      </w:r>
      <w:r w:rsidRPr="00606492">
        <w:rPr>
          <w:rFonts w:ascii="Arial" w:hAnsi="Arial" w:cs="Arial"/>
          <w:color w:val="231F20"/>
          <w:sz w:val="24"/>
          <w:szCs w:val="24"/>
        </w:rPr>
        <w:t xml:space="preserve">) </w:t>
      </w:r>
      <w:r w:rsidRPr="00606492">
        <w:rPr>
          <w:rFonts w:ascii="Arial" w:hAnsi="Arial" w:cs="Arial"/>
          <w:color w:val="231F20"/>
          <w:sz w:val="24"/>
          <w:szCs w:val="24"/>
          <w:u w:val="single"/>
        </w:rPr>
        <w:t>Nothing contained in sub-section (</w:t>
      </w:r>
      <w:r w:rsidRPr="00606492">
        <w:rPr>
          <w:rFonts w:ascii="Arial" w:hAnsi="Arial" w:cs="Arial"/>
          <w:i/>
          <w:iCs/>
          <w:color w:val="231F20"/>
          <w:sz w:val="24"/>
          <w:szCs w:val="24"/>
          <w:u w:val="single"/>
        </w:rPr>
        <w:t>7B</w:t>
      </w:r>
      <w:r w:rsidRPr="00606492">
        <w:rPr>
          <w:rFonts w:ascii="Arial" w:hAnsi="Arial" w:cs="Arial"/>
          <w:color w:val="231F20"/>
          <w:sz w:val="24"/>
          <w:szCs w:val="24"/>
          <w:u w:val="single"/>
        </w:rPr>
        <w:t>)</w:t>
      </w:r>
      <w:r w:rsidRPr="00606492">
        <w:rPr>
          <w:rFonts w:ascii="Arial" w:hAnsi="Arial" w:cs="Arial"/>
          <w:color w:val="231F20"/>
          <w:sz w:val="24"/>
          <w:szCs w:val="24"/>
        </w:rPr>
        <w:t xml:space="preserve"> shall </w:t>
      </w:r>
      <w:r w:rsidRPr="00606492">
        <w:rPr>
          <w:rFonts w:ascii="Arial" w:hAnsi="Arial" w:cs="Arial"/>
          <w:color w:val="231F20"/>
          <w:sz w:val="24"/>
          <w:szCs w:val="24"/>
          <w:u w:val="single"/>
        </w:rPr>
        <w:t xml:space="preserve">apply to a company which has become a </w:t>
      </w:r>
      <w:r w:rsidRPr="00606492">
        <w:rPr>
          <w:rFonts w:ascii="Arial" w:hAnsi="Arial" w:cs="Arial"/>
          <w:b/>
          <w:color w:val="231F20"/>
          <w:sz w:val="24"/>
          <w:szCs w:val="24"/>
          <w:u w:val="single"/>
        </w:rPr>
        <w:t>sick industrial company</w:t>
      </w:r>
      <w:r w:rsidRPr="00606492">
        <w:rPr>
          <w:rFonts w:ascii="Arial" w:hAnsi="Arial" w:cs="Arial"/>
          <w:color w:val="231F20"/>
          <w:sz w:val="24"/>
          <w:szCs w:val="24"/>
        </w:rPr>
        <w:t xml:space="preserve"> under sub-section (</w:t>
      </w:r>
      <w:r w:rsidRPr="00606492">
        <w:rPr>
          <w:rFonts w:ascii="Arial" w:hAnsi="Arial" w:cs="Arial"/>
          <w:i/>
          <w:iCs/>
          <w:color w:val="231F20"/>
          <w:sz w:val="24"/>
          <w:szCs w:val="24"/>
        </w:rPr>
        <w:t>1</w:t>
      </w:r>
      <w:r w:rsidRPr="00606492">
        <w:rPr>
          <w:rFonts w:ascii="Arial" w:hAnsi="Arial" w:cs="Arial"/>
          <w:color w:val="231F20"/>
          <w:sz w:val="24"/>
          <w:szCs w:val="24"/>
        </w:rPr>
        <w:t>) of section 17 of the Sick Industrial Companies (Special Provisions) Act, 1985, during the period specified in sub-section (</w:t>
      </w:r>
      <w:r w:rsidRPr="00606492">
        <w:rPr>
          <w:rFonts w:ascii="Arial" w:hAnsi="Arial" w:cs="Arial"/>
          <w:i/>
          <w:iCs/>
          <w:color w:val="231F20"/>
          <w:sz w:val="24"/>
          <w:szCs w:val="24"/>
        </w:rPr>
        <w:t>7A</w:t>
      </w:r>
      <w:r w:rsidRPr="00606492">
        <w:rPr>
          <w:rFonts w:ascii="Arial" w:hAnsi="Arial" w:cs="Arial"/>
          <w:color w:val="231F20"/>
          <w:sz w:val="24"/>
          <w:szCs w:val="24"/>
        </w:rPr>
        <w:t>).’;</w:t>
      </w:r>
    </w:p>
    <w:p w:rsidR="00935C06" w:rsidRDefault="00935C06" w:rsidP="00935C06">
      <w:pPr>
        <w:autoSpaceDE w:val="0"/>
        <w:autoSpaceDN w:val="0"/>
        <w:adjustRightInd w:val="0"/>
        <w:spacing w:after="0" w:line="240" w:lineRule="auto"/>
        <w:jc w:val="both"/>
        <w:rPr>
          <w:rFonts w:ascii="Arial" w:hAnsi="Arial" w:cs="Arial"/>
          <w:color w:val="231F20"/>
          <w:sz w:val="24"/>
          <w:szCs w:val="24"/>
        </w:rPr>
      </w:pPr>
    </w:p>
    <w:p w:rsidR="00935C06" w:rsidRPr="00606492" w:rsidRDefault="00935C06" w:rsidP="00606492">
      <w:pPr>
        <w:pStyle w:val="ListParagraph"/>
        <w:numPr>
          <w:ilvl w:val="0"/>
          <w:numId w:val="5"/>
        </w:numPr>
        <w:autoSpaceDE w:val="0"/>
        <w:autoSpaceDN w:val="0"/>
        <w:adjustRightInd w:val="0"/>
        <w:spacing w:after="0" w:line="240" w:lineRule="auto"/>
        <w:ind w:left="288"/>
        <w:jc w:val="both"/>
        <w:rPr>
          <w:rFonts w:ascii="Arial" w:hAnsi="Arial" w:cs="Arial"/>
          <w:color w:val="231F20"/>
          <w:sz w:val="24"/>
          <w:szCs w:val="24"/>
        </w:rPr>
      </w:pPr>
      <w:r w:rsidRPr="00606492">
        <w:rPr>
          <w:rFonts w:ascii="Arial" w:hAnsi="Arial" w:cs="Arial"/>
          <w:color w:val="231F20"/>
          <w:sz w:val="24"/>
          <w:szCs w:val="24"/>
        </w:rPr>
        <w:t>in sub-section (</w:t>
      </w:r>
      <w:r w:rsidRPr="00606492">
        <w:rPr>
          <w:rFonts w:ascii="Arial" w:hAnsi="Arial" w:cs="Arial"/>
          <w:i/>
          <w:iCs/>
          <w:color w:val="231F20"/>
          <w:sz w:val="24"/>
          <w:szCs w:val="24"/>
        </w:rPr>
        <w:t>8</w:t>
      </w:r>
      <w:r w:rsidRPr="00606492">
        <w:rPr>
          <w:rFonts w:ascii="Arial" w:hAnsi="Arial" w:cs="Arial"/>
          <w:color w:val="231F20"/>
          <w:sz w:val="24"/>
          <w:szCs w:val="24"/>
        </w:rPr>
        <w:t>), in clause (</w:t>
      </w:r>
      <w:r w:rsidRPr="00606492">
        <w:rPr>
          <w:rFonts w:ascii="Arial" w:hAnsi="Arial" w:cs="Arial"/>
          <w:i/>
          <w:iCs/>
          <w:color w:val="231F20"/>
          <w:sz w:val="24"/>
          <w:szCs w:val="24"/>
        </w:rPr>
        <w:t>c</w:t>
      </w:r>
      <w:r w:rsidRPr="00606492">
        <w:rPr>
          <w:rFonts w:ascii="Arial" w:hAnsi="Arial" w:cs="Arial"/>
          <w:color w:val="231F20"/>
          <w:sz w:val="24"/>
          <w:szCs w:val="24"/>
        </w:rPr>
        <w:t>), after sub-clause (</w:t>
      </w:r>
      <w:r w:rsidRPr="00606492">
        <w:rPr>
          <w:rFonts w:ascii="Arial" w:hAnsi="Arial" w:cs="Arial"/>
          <w:i/>
          <w:iCs/>
          <w:color w:val="231F20"/>
          <w:sz w:val="24"/>
          <w:szCs w:val="24"/>
        </w:rPr>
        <w:t>xi</w:t>
      </w:r>
      <w:r w:rsidRPr="00606492">
        <w:rPr>
          <w:rFonts w:ascii="Arial" w:hAnsi="Arial" w:cs="Arial"/>
          <w:color w:val="231F20"/>
          <w:sz w:val="24"/>
          <w:szCs w:val="24"/>
        </w:rPr>
        <w:t>), the following sub-clauses shall be inserted, namely:––</w:t>
      </w:r>
    </w:p>
    <w:p w:rsidR="00935C06" w:rsidRPr="00606492" w:rsidRDefault="00935C06" w:rsidP="00606492">
      <w:pPr>
        <w:pStyle w:val="ListParagraph"/>
        <w:numPr>
          <w:ilvl w:val="0"/>
          <w:numId w:val="7"/>
        </w:numPr>
        <w:autoSpaceDE w:val="0"/>
        <w:autoSpaceDN w:val="0"/>
        <w:adjustRightInd w:val="0"/>
        <w:spacing w:after="0" w:line="240" w:lineRule="auto"/>
        <w:jc w:val="both"/>
        <w:rPr>
          <w:rFonts w:ascii="Arial" w:hAnsi="Arial" w:cs="Arial"/>
          <w:color w:val="231F20"/>
          <w:sz w:val="24"/>
          <w:szCs w:val="24"/>
        </w:rPr>
      </w:pPr>
      <w:r w:rsidRPr="00606492">
        <w:rPr>
          <w:rFonts w:ascii="Arial" w:hAnsi="Arial" w:cs="Arial"/>
          <w:color w:val="231F20"/>
          <w:sz w:val="24"/>
          <w:szCs w:val="24"/>
        </w:rPr>
        <w:t>“(</w:t>
      </w:r>
      <w:r w:rsidRPr="00606492">
        <w:rPr>
          <w:rFonts w:ascii="Arial" w:hAnsi="Arial" w:cs="Arial"/>
          <w:i/>
          <w:iCs/>
          <w:color w:val="231F20"/>
          <w:sz w:val="24"/>
          <w:szCs w:val="24"/>
        </w:rPr>
        <w:t>xii</w:t>
      </w:r>
      <w:r w:rsidRPr="00606492">
        <w:rPr>
          <w:rFonts w:ascii="Arial" w:hAnsi="Arial" w:cs="Arial"/>
          <w:color w:val="231F20"/>
          <w:sz w:val="24"/>
          <w:szCs w:val="24"/>
        </w:rPr>
        <w:t>) laying and operating a slurry pipeline for the transportation of iron ore;</w:t>
      </w:r>
    </w:p>
    <w:p w:rsidR="005015BD" w:rsidRPr="00606492" w:rsidRDefault="00935C06" w:rsidP="00606492">
      <w:pPr>
        <w:pStyle w:val="ListParagraph"/>
        <w:numPr>
          <w:ilvl w:val="0"/>
          <w:numId w:val="7"/>
        </w:numPr>
        <w:autoSpaceDE w:val="0"/>
        <w:autoSpaceDN w:val="0"/>
        <w:adjustRightInd w:val="0"/>
        <w:spacing w:after="0" w:line="240" w:lineRule="auto"/>
        <w:jc w:val="both"/>
        <w:rPr>
          <w:rFonts w:ascii="Arial" w:hAnsi="Arial" w:cs="Arial"/>
          <w:color w:val="231F20"/>
          <w:sz w:val="24"/>
          <w:szCs w:val="24"/>
        </w:rPr>
      </w:pPr>
      <w:r w:rsidRPr="00606492">
        <w:rPr>
          <w:rFonts w:ascii="Arial" w:hAnsi="Arial" w:cs="Arial"/>
          <w:color w:val="231F20"/>
          <w:sz w:val="24"/>
          <w:szCs w:val="24"/>
        </w:rPr>
        <w:t>(</w:t>
      </w:r>
      <w:r w:rsidRPr="00606492">
        <w:rPr>
          <w:rFonts w:ascii="Arial" w:hAnsi="Arial" w:cs="Arial"/>
          <w:i/>
          <w:iCs/>
          <w:color w:val="231F20"/>
          <w:sz w:val="24"/>
          <w:szCs w:val="24"/>
        </w:rPr>
        <w:t>xiii</w:t>
      </w:r>
      <w:r w:rsidRPr="00606492">
        <w:rPr>
          <w:rFonts w:ascii="Arial" w:hAnsi="Arial" w:cs="Arial"/>
          <w:color w:val="231F20"/>
          <w:sz w:val="24"/>
          <w:szCs w:val="24"/>
        </w:rPr>
        <w:t xml:space="preserve">) </w:t>
      </w:r>
      <w:proofErr w:type="gramStart"/>
      <w:r w:rsidRPr="00606492">
        <w:rPr>
          <w:rFonts w:ascii="Arial" w:hAnsi="Arial" w:cs="Arial"/>
          <w:color w:val="231F20"/>
          <w:sz w:val="24"/>
          <w:szCs w:val="24"/>
        </w:rPr>
        <w:t>setting</w:t>
      </w:r>
      <w:proofErr w:type="gramEnd"/>
      <w:r w:rsidRPr="00606492">
        <w:rPr>
          <w:rFonts w:ascii="Arial" w:hAnsi="Arial" w:cs="Arial"/>
          <w:color w:val="231F20"/>
          <w:sz w:val="24"/>
          <w:szCs w:val="24"/>
        </w:rPr>
        <w:t xml:space="preserve"> up and operating a semi-conductor wafer fabrication manufacturing unit notified by the Board in accordance with such guidelines as may be prescribed;”.</w:t>
      </w:r>
    </w:p>
    <w:p w:rsidR="00606492" w:rsidRDefault="00606492" w:rsidP="00935C06">
      <w:pPr>
        <w:autoSpaceDE w:val="0"/>
        <w:autoSpaceDN w:val="0"/>
        <w:adjustRightInd w:val="0"/>
        <w:spacing w:after="0" w:line="240" w:lineRule="auto"/>
        <w:jc w:val="both"/>
        <w:rPr>
          <w:rFonts w:ascii="Arial" w:hAnsi="Arial" w:cs="Arial"/>
          <w:color w:val="231F20"/>
          <w:sz w:val="24"/>
          <w:szCs w:val="24"/>
        </w:rPr>
      </w:pPr>
    </w:p>
    <w:p w:rsidR="00606492" w:rsidRPr="00606492" w:rsidRDefault="00606492" w:rsidP="00606492">
      <w:pPr>
        <w:pStyle w:val="ListParagraph"/>
        <w:numPr>
          <w:ilvl w:val="0"/>
          <w:numId w:val="8"/>
        </w:numPr>
        <w:autoSpaceDE w:val="0"/>
        <w:autoSpaceDN w:val="0"/>
        <w:adjustRightInd w:val="0"/>
        <w:spacing w:after="0" w:line="240" w:lineRule="auto"/>
        <w:ind w:left="288"/>
        <w:jc w:val="both"/>
        <w:rPr>
          <w:rFonts w:ascii="Arial" w:hAnsi="Arial" w:cs="Arial"/>
          <w:color w:val="231F20"/>
          <w:sz w:val="24"/>
          <w:szCs w:val="24"/>
        </w:rPr>
      </w:pPr>
      <w:r w:rsidRPr="00606492">
        <w:rPr>
          <w:rFonts w:ascii="Arial" w:hAnsi="Arial" w:cs="Arial"/>
          <w:color w:val="231F20"/>
          <w:sz w:val="24"/>
          <w:szCs w:val="24"/>
        </w:rPr>
        <w:lastRenderedPageBreak/>
        <w:t xml:space="preserve">In </w:t>
      </w:r>
      <w:r w:rsidRPr="00606492">
        <w:rPr>
          <w:rFonts w:ascii="Arial" w:hAnsi="Arial" w:cs="Arial"/>
          <w:b/>
          <w:color w:val="231F20"/>
          <w:sz w:val="24"/>
          <w:szCs w:val="24"/>
        </w:rPr>
        <w:t>section 115JEE</w:t>
      </w:r>
      <w:r w:rsidRPr="00606492">
        <w:rPr>
          <w:rFonts w:ascii="Arial" w:hAnsi="Arial" w:cs="Arial"/>
          <w:color w:val="231F20"/>
          <w:sz w:val="24"/>
          <w:szCs w:val="24"/>
        </w:rPr>
        <w:t xml:space="preserve"> of the Income-tax Act, with effect from the </w:t>
      </w:r>
      <w:r w:rsidRPr="00606492">
        <w:rPr>
          <w:rFonts w:ascii="Arial" w:hAnsi="Arial" w:cs="Arial"/>
          <w:b/>
          <w:color w:val="231F20"/>
          <w:sz w:val="24"/>
          <w:szCs w:val="24"/>
        </w:rPr>
        <w:t>1st day of April, 2015</w:t>
      </w:r>
      <w:r w:rsidRPr="00606492">
        <w:rPr>
          <w:rFonts w:ascii="Arial" w:hAnsi="Arial" w:cs="Arial"/>
          <w:color w:val="231F20"/>
          <w:sz w:val="24"/>
          <w:szCs w:val="24"/>
        </w:rPr>
        <w:t>,—</w:t>
      </w:r>
    </w:p>
    <w:p w:rsidR="00606492" w:rsidRPr="00AA12BB" w:rsidRDefault="00606492" w:rsidP="00606492">
      <w:pPr>
        <w:autoSpaceDE w:val="0"/>
        <w:autoSpaceDN w:val="0"/>
        <w:adjustRightInd w:val="0"/>
        <w:spacing w:after="0" w:line="240" w:lineRule="auto"/>
        <w:jc w:val="both"/>
        <w:rPr>
          <w:rFonts w:ascii="Arial" w:hAnsi="Arial" w:cs="Arial"/>
          <w:color w:val="231F20"/>
          <w:sz w:val="24"/>
          <w:szCs w:val="24"/>
        </w:rPr>
      </w:pPr>
    </w:p>
    <w:p w:rsidR="00606492" w:rsidRPr="00606492" w:rsidRDefault="00606492" w:rsidP="00606492">
      <w:pPr>
        <w:pStyle w:val="ListParagraph"/>
        <w:numPr>
          <w:ilvl w:val="0"/>
          <w:numId w:val="9"/>
        </w:numPr>
        <w:autoSpaceDE w:val="0"/>
        <w:autoSpaceDN w:val="0"/>
        <w:adjustRightInd w:val="0"/>
        <w:spacing w:after="0" w:line="240" w:lineRule="auto"/>
        <w:jc w:val="both"/>
        <w:rPr>
          <w:rFonts w:ascii="Arial" w:hAnsi="Arial" w:cs="Arial"/>
          <w:color w:val="231F20"/>
          <w:sz w:val="24"/>
          <w:szCs w:val="24"/>
        </w:rPr>
      </w:pPr>
      <w:r>
        <w:rPr>
          <w:rFonts w:ascii="Arial" w:hAnsi="Arial" w:cs="Arial"/>
          <w:color w:val="231F20"/>
          <w:sz w:val="24"/>
          <w:szCs w:val="24"/>
        </w:rPr>
        <w:t xml:space="preserve">(A) </w:t>
      </w:r>
      <w:r w:rsidRPr="00606492">
        <w:rPr>
          <w:rFonts w:ascii="Arial" w:hAnsi="Arial" w:cs="Arial"/>
          <w:color w:val="231F20"/>
          <w:sz w:val="24"/>
          <w:szCs w:val="24"/>
        </w:rPr>
        <w:t xml:space="preserve">in </w:t>
      </w:r>
      <w:r w:rsidRPr="00606492">
        <w:rPr>
          <w:rFonts w:ascii="Arial" w:hAnsi="Arial" w:cs="Arial"/>
          <w:b/>
          <w:color w:val="231F20"/>
          <w:sz w:val="24"/>
          <w:szCs w:val="24"/>
        </w:rPr>
        <w:t>sub-section (</w:t>
      </w:r>
      <w:r w:rsidRPr="00606492">
        <w:rPr>
          <w:rFonts w:ascii="Arial" w:hAnsi="Arial" w:cs="Arial"/>
          <w:b/>
          <w:i/>
          <w:iCs/>
          <w:color w:val="231F20"/>
          <w:sz w:val="24"/>
          <w:szCs w:val="24"/>
        </w:rPr>
        <w:t>1</w:t>
      </w:r>
      <w:r w:rsidRPr="00606492">
        <w:rPr>
          <w:rFonts w:ascii="Arial" w:hAnsi="Arial" w:cs="Arial"/>
          <w:b/>
          <w:color w:val="231F20"/>
          <w:sz w:val="24"/>
          <w:szCs w:val="24"/>
        </w:rPr>
        <w:t>), for clause (</w:t>
      </w:r>
      <w:r w:rsidRPr="00606492">
        <w:rPr>
          <w:rFonts w:ascii="Arial" w:hAnsi="Arial" w:cs="Arial"/>
          <w:b/>
          <w:i/>
          <w:iCs/>
          <w:color w:val="231F20"/>
          <w:sz w:val="24"/>
          <w:szCs w:val="24"/>
        </w:rPr>
        <w:t>b</w:t>
      </w:r>
      <w:r w:rsidRPr="00606492">
        <w:rPr>
          <w:rFonts w:ascii="Arial" w:hAnsi="Arial" w:cs="Arial"/>
          <w:b/>
          <w:color w:val="231F20"/>
          <w:sz w:val="24"/>
          <w:szCs w:val="24"/>
        </w:rPr>
        <w:t>),</w:t>
      </w:r>
      <w:r w:rsidRPr="00606492">
        <w:rPr>
          <w:rFonts w:ascii="Arial" w:hAnsi="Arial" w:cs="Arial"/>
          <w:color w:val="231F20"/>
          <w:sz w:val="24"/>
          <w:szCs w:val="24"/>
        </w:rPr>
        <w:t xml:space="preserve"> the following clauses shall be substituted, namely:–</w:t>
      </w:r>
    </w:p>
    <w:p w:rsidR="00606492" w:rsidRPr="00AA12BB" w:rsidRDefault="00606492" w:rsidP="00606492">
      <w:pPr>
        <w:autoSpaceDE w:val="0"/>
        <w:autoSpaceDN w:val="0"/>
        <w:adjustRightInd w:val="0"/>
        <w:spacing w:after="0" w:line="240" w:lineRule="auto"/>
        <w:ind w:left="720"/>
        <w:jc w:val="both"/>
        <w:rPr>
          <w:rFonts w:ascii="Arial" w:hAnsi="Arial" w:cs="Arial"/>
          <w:color w:val="231F20"/>
          <w:sz w:val="24"/>
          <w:szCs w:val="24"/>
        </w:rPr>
      </w:pPr>
      <w:r w:rsidRPr="00AA12BB">
        <w:rPr>
          <w:rFonts w:ascii="Arial" w:hAnsi="Arial" w:cs="Arial"/>
          <w:color w:val="231F20"/>
          <w:sz w:val="24"/>
          <w:szCs w:val="24"/>
        </w:rPr>
        <w:t>(</w:t>
      </w:r>
      <w:r w:rsidRPr="00AA12BB">
        <w:rPr>
          <w:rFonts w:ascii="Arial" w:hAnsi="Arial" w:cs="Arial"/>
          <w:i/>
          <w:iCs/>
          <w:color w:val="231F20"/>
          <w:sz w:val="24"/>
          <w:szCs w:val="24"/>
        </w:rPr>
        <w:t>b</w:t>
      </w:r>
      <w:r w:rsidRPr="00AA12BB">
        <w:rPr>
          <w:rFonts w:ascii="Arial" w:hAnsi="Arial" w:cs="Arial"/>
          <w:color w:val="231F20"/>
          <w:sz w:val="24"/>
          <w:szCs w:val="24"/>
        </w:rPr>
        <w:t xml:space="preserve">) </w:t>
      </w:r>
      <w:proofErr w:type="gramStart"/>
      <w:r w:rsidRPr="00AA12BB">
        <w:rPr>
          <w:rFonts w:ascii="Arial" w:hAnsi="Arial" w:cs="Arial"/>
          <w:color w:val="231F20"/>
          <w:sz w:val="24"/>
          <w:szCs w:val="24"/>
        </w:rPr>
        <w:t>section</w:t>
      </w:r>
      <w:proofErr w:type="gramEnd"/>
      <w:r w:rsidRPr="00AA12BB">
        <w:rPr>
          <w:rFonts w:ascii="Arial" w:hAnsi="Arial" w:cs="Arial"/>
          <w:color w:val="231F20"/>
          <w:sz w:val="24"/>
          <w:szCs w:val="24"/>
        </w:rPr>
        <w:t xml:space="preserve"> 10AA; or</w:t>
      </w:r>
    </w:p>
    <w:p w:rsidR="00606492" w:rsidRDefault="00606492" w:rsidP="00606492">
      <w:pPr>
        <w:autoSpaceDE w:val="0"/>
        <w:autoSpaceDN w:val="0"/>
        <w:adjustRightInd w:val="0"/>
        <w:spacing w:after="0" w:line="240" w:lineRule="auto"/>
        <w:ind w:left="720"/>
        <w:jc w:val="both"/>
        <w:rPr>
          <w:rFonts w:ascii="Arial" w:hAnsi="Arial" w:cs="Arial"/>
          <w:color w:val="231F20"/>
          <w:sz w:val="24"/>
          <w:szCs w:val="24"/>
        </w:rPr>
      </w:pPr>
      <w:r w:rsidRPr="00AA12BB">
        <w:rPr>
          <w:rFonts w:ascii="Arial" w:hAnsi="Arial" w:cs="Arial"/>
          <w:color w:val="231F20"/>
          <w:sz w:val="24"/>
          <w:szCs w:val="24"/>
        </w:rPr>
        <w:t>(</w:t>
      </w:r>
      <w:r w:rsidRPr="00AA12BB">
        <w:rPr>
          <w:rFonts w:ascii="Arial" w:hAnsi="Arial" w:cs="Arial"/>
          <w:i/>
          <w:iCs/>
          <w:color w:val="231F20"/>
          <w:sz w:val="24"/>
          <w:szCs w:val="24"/>
        </w:rPr>
        <w:t>c</w:t>
      </w:r>
      <w:r w:rsidRPr="00AA12BB">
        <w:rPr>
          <w:rFonts w:ascii="Arial" w:hAnsi="Arial" w:cs="Arial"/>
          <w:color w:val="231F20"/>
          <w:sz w:val="24"/>
          <w:szCs w:val="24"/>
        </w:rPr>
        <w:t xml:space="preserve">) </w:t>
      </w:r>
      <w:proofErr w:type="gramStart"/>
      <w:r w:rsidRPr="00AA12BB">
        <w:rPr>
          <w:rFonts w:ascii="Arial" w:hAnsi="Arial" w:cs="Arial"/>
          <w:color w:val="231F20"/>
          <w:sz w:val="24"/>
          <w:szCs w:val="24"/>
        </w:rPr>
        <w:t>section</w:t>
      </w:r>
      <w:proofErr w:type="gramEnd"/>
      <w:r w:rsidRPr="00AA12BB">
        <w:rPr>
          <w:rFonts w:ascii="Arial" w:hAnsi="Arial" w:cs="Arial"/>
          <w:color w:val="231F20"/>
          <w:sz w:val="24"/>
          <w:szCs w:val="24"/>
        </w:rPr>
        <w:t xml:space="preserve"> 35AD.”;</w:t>
      </w:r>
    </w:p>
    <w:p w:rsidR="00606492" w:rsidRPr="00AA12BB" w:rsidRDefault="00606492" w:rsidP="00606492">
      <w:pPr>
        <w:autoSpaceDE w:val="0"/>
        <w:autoSpaceDN w:val="0"/>
        <w:adjustRightInd w:val="0"/>
        <w:spacing w:after="0" w:line="240" w:lineRule="auto"/>
        <w:jc w:val="both"/>
        <w:rPr>
          <w:rFonts w:ascii="Arial" w:hAnsi="Arial" w:cs="Arial"/>
          <w:color w:val="231F20"/>
          <w:sz w:val="24"/>
          <w:szCs w:val="24"/>
        </w:rPr>
      </w:pPr>
    </w:p>
    <w:p w:rsidR="00606492" w:rsidRDefault="00606492" w:rsidP="00606492">
      <w:pPr>
        <w:autoSpaceDE w:val="0"/>
        <w:autoSpaceDN w:val="0"/>
        <w:adjustRightInd w:val="0"/>
        <w:spacing w:after="0" w:line="240" w:lineRule="auto"/>
        <w:jc w:val="both"/>
        <w:rPr>
          <w:rFonts w:ascii="Arial" w:hAnsi="Arial" w:cs="Arial"/>
          <w:color w:val="231F20"/>
          <w:sz w:val="24"/>
          <w:szCs w:val="24"/>
        </w:rPr>
      </w:pPr>
      <w:r>
        <w:rPr>
          <w:rFonts w:ascii="Arial" w:hAnsi="Arial" w:cs="Arial"/>
          <w:color w:val="231F20"/>
          <w:sz w:val="24"/>
          <w:szCs w:val="24"/>
        </w:rPr>
        <w:t xml:space="preserve">           </w:t>
      </w:r>
      <w:r w:rsidRPr="00AA12BB">
        <w:rPr>
          <w:rFonts w:ascii="Arial" w:hAnsi="Arial" w:cs="Arial"/>
          <w:color w:val="231F20"/>
          <w:sz w:val="24"/>
          <w:szCs w:val="24"/>
        </w:rPr>
        <w:t>(</w:t>
      </w:r>
      <w:r w:rsidRPr="00AA12BB">
        <w:rPr>
          <w:rFonts w:ascii="Arial" w:hAnsi="Arial" w:cs="Arial"/>
          <w:i/>
          <w:iCs/>
          <w:color w:val="231F20"/>
          <w:sz w:val="24"/>
          <w:szCs w:val="24"/>
        </w:rPr>
        <w:t>B</w:t>
      </w:r>
      <w:r w:rsidRPr="00AA12BB">
        <w:rPr>
          <w:rFonts w:ascii="Arial" w:hAnsi="Arial" w:cs="Arial"/>
          <w:color w:val="231F20"/>
          <w:sz w:val="24"/>
          <w:szCs w:val="24"/>
        </w:rPr>
        <w:t xml:space="preserve">) </w:t>
      </w:r>
      <w:proofErr w:type="gramStart"/>
      <w:r w:rsidRPr="00AA12BB">
        <w:rPr>
          <w:rFonts w:ascii="Arial" w:hAnsi="Arial" w:cs="Arial"/>
          <w:color w:val="231F20"/>
          <w:sz w:val="24"/>
          <w:szCs w:val="24"/>
        </w:rPr>
        <w:t>after</w:t>
      </w:r>
      <w:proofErr w:type="gramEnd"/>
      <w:r w:rsidRPr="00AA12BB">
        <w:rPr>
          <w:rFonts w:ascii="Arial" w:hAnsi="Arial" w:cs="Arial"/>
          <w:color w:val="231F20"/>
          <w:sz w:val="24"/>
          <w:szCs w:val="24"/>
        </w:rPr>
        <w:t xml:space="preserve"> sub-section (</w:t>
      </w:r>
      <w:r w:rsidRPr="00AA12BB">
        <w:rPr>
          <w:rFonts w:ascii="Arial" w:hAnsi="Arial" w:cs="Arial"/>
          <w:i/>
          <w:iCs/>
          <w:color w:val="231F20"/>
          <w:sz w:val="24"/>
          <w:szCs w:val="24"/>
        </w:rPr>
        <w:t>2</w:t>
      </w:r>
      <w:r w:rsidRPr="00AA12BB">
        <w:rPr>
          <w:rFonts w:ascii="Arial" w:hAnsi="Arial" w:cs="Arial"/>
          <w:color w:val="231F20"/>
          <w:sz w:val="24"/>
          <w:szCs w:val="24"/>
        </w:rPr>
        <w:t>), the following sub-section shall be inserted, namely:––</w:t>
      </w:r>
    </w:p>
    <w:p w:rsidR="00606492" w:rsidRPr="00AA12BB" w:rsidRDefault="00606492" w:rsidP="00606492">
      <w:pPr>
        <w:autoSpaceDE w:val="0"/>
        <w:autoSpaceDN w:val="0"/>
        <w:adjustRightInd w:val="0"/>
        <w:spacing w:after="0" w:line="240" w:lineRule="auto"/>
        <w:jc w:val="both"/>
        <w:rPr>
          <w:rFonts w:ascii="Arial" w:hAnsi="Arial" w:cs="Arial"/>
          <w:color w:val="231F20"/>
          <w:sz w:val="24"/>
          <w:szCs w:val="24"/>
        </w:rPr>
      </w:pPr>
    </w:p>
    <w:p w:rsidR="00606492" w:rsidRPr="00606492" w:rsidRDefault="00606492" w:rsidP="00606492">
      <w:pPr>
        <w:pStyle w:val="ListParagraph"/>
        <w:numPr>
          <w:ilvl w:val="0"/>
          <w:numId w:val="9"/>
        </w:numPr>
        <w:autoSpaceDE w:val="0"/>
        <w:autoSpaceDN w:val="0"/>
        <w:adjustRightInd w:val="0"/>
        <w:spacing w:after="0" w:line="240" w:lineRule="auto"/>
        <w:jc w:val="both"/>
        <w:rPr>
          <w:rFonts w:ascii="Arial" w:hAnsi="Arial" w:cs="Arial"/>
          <w:color w:val="231F20"/>
          <w:sz w:val="24"/>
          <w:szCs w:val="24"/>
        </w:rPr>
      </w:pPr>
      <w:r w:rsidRPr="00606492">
        <w:rPr>
          <w:rFonts w:ascii="Arial" w:hAnsi="Arial" w:cs="Arial"/>
          <w:color w:val="231F20"/>
          <w:sz w:val="24"/>
          <w:szCs w:val="24"/>
        </w:rPr>
        <w:t>“</w:t>
      </w:r>
      <w:r w:rsidRPr="00606492">
        <w:rPr>
          <w:rFonts w:ascii="Arial" w:hAnsi="Arial" w:cs="Arial"/>
          <w:b/>
          <w:color w:val="231F20"/>
          <w:sz w:val="24"/>
          <w:szCs w:val="24"/>
        </w:rPr>
        <w:t>(</w:t>
      </w:r>
      <w:r w:rsidRPr="00606492">
        <w:rPr>
          <w:rFonts w:ascii="Arial" w:hAnsi="Arial" w:cs="Arial"/>
          <w:b/>
          <w:i/>
          <w:iCs/>
          <w:color w:val="231F20"/>
          <w:sz w:val="24"/>
          <w:szCs w:val="24"/>
        </w:rPr>
        <w:t>3</w:t>
      </w:r>
      <w:r w:rsidRPr="00606492">
        <w:rPr>
          <w:rFonts w:ascii="Arial" w:hAnsi="Arial" w:cs="Arial"/>
          <w:b/>
          <w:color w:val="231F20"/>
          <w:sz w:val="24"/>
          <w:szCs w:val="24"/>
        </w:rPr>
        <w:t>)</w:t>
      </w:r>
      <w:r w:rsidRPr="00606492">
        <w:rPr>
          <w:rFonts w:ascii="Arial" w:hAnsi="Arial" w:cs="Arial"/>
          <w:color w:val="231F20"/>
          <w:sz w:val="24"/>
          <w:szCs w:val="24"/>
        </w:rPr>
        <w:t xml:space="preserve"> Notwithstanding anything contained in sub-section (</w:t>
      </w:r>
      <w:r w:rsidRPr="00606492">
        <w:rPr>
          <w:rFonts w:ascii="Arial" w:hAnsi="Arial" w:cs="Arial"/>
          <w:i/>
          <w:iCs/>
          <w:color w:val="231F20"/>
          <w:sz w:val="24"/>
          <w:szCs w:val="24"/>
        </w:rPr>
        <w:t>1</w:t>
      </w:r>
      <w:r w:rsidRPr="00606492">
        <w:rPr>
          <w:rFonts w:ascii="Arial" w:hAnsi="Arial" w:cs="Arial"/>
          <w:color w:val="231F20"/>
          <w:sz w:val="24"/>
          <w:szCs w:val="24"/>
        </w:rPr>
        <w:t>) or sub-section (</w:t>
      </w:r>
      <w:r w:rsidRPr="00606492">
        <w:rPr>
          <w:rFonts w:ascii="Arial" w:hAnsi="Arial" w:cs="Arial"/>
          <w:i/>
          <w:iCs/>
          <w:color w:val="231F20"/>
          <w:sz w:val="24"/>
          <w:szCs w:val="24"/>
        </w:rPr>
        <w:t>2</w:t>
      </w:r>
      <w:r w:rsidRPr="00606492">
        <w:rPr>
          <w:rFonts w:ascii="Arial" w:hAnsi="Arial" w:cs="Arial"/>
          <w:color w:val="231F20"/>
          <w:sz w:val="24"/>
          <w:szCs w:val="24"/>
        </w:rPr>
        <w:t xml:space="preserve">), the </w:t>
      </w:r>
      <w:r w:rsidRPr="00606492">
        <w:rPr>
          <w:rFonts w:ascii="Arial" w:hAnsi="Arial" w:cs="Arial"/>
          <w:b/>
          <w:color w:val="231F20"/>
          <w:sz w:val="24"/>
          <w:szCs w:val="24"/>
        </w:rPr>
        <w:t>credit for tax paid under section 115JC</w:t>
      </w:r>
      <w:r w:rsidRPr="00606492">
        <w:rPr>
          <w:rFonts w:ascii="Arial" w:hAnsi="Arial" w:cs="Arial"/>
          <w:color w:val="231F20"/>
          <w:sz w:val="24"/>
          <w:szCs w:val="24"/>
        </w:rPr>
        <w:t xml:space="preserve"> shall be </w:t>
      </w:r>
      <w:r w:rsidRPr="00606492">
        <w:rPr>
          <w:rFonts w:ascii="Arial" w:hAnsi="Arial" w:cs="Arial"/>
          <w:b/>
          <w:color w:val="231F20"/>
          <w:sz w:val="24"/>
          <w:szCs w:val="24"/>
        </w:rPr>
        <w:t>allowed in accordance</w:t>
      </w:r>
      <w:r w:rsidRPr="00606492">
        <w:rPr>
          <w:rFonts w:ascii="Arial" w:hAnsi="Arial" w:cs="Arial"/>
          <w:color w:val="231F20"/>
          <w:sz w:val="24"/>
          <w:szCs w:val="24"/>
        </w:rPr>
        <w:t xml:space="preserve"> with the provisions of </w:t>
      </w:r>
      <w:r w:rsidRPr="00606492">
        <w:rPr>
          <w:rFonts w:ascii="Arial" w:hAnsi="Arial" w:cs="Arial"/>
          <w:b/>
          <w:color w:val="231F20"/>
          <w:sz w:val="24"/>
          <w:szCs w:val="24"/>
        </w:rPr>
        <w:t>section 115JD</w:t>
      </w:r>
      <w:r w:rsidRPr="00606492">
        <w:rPr>
          <w:rFonts w:ascii="Arial" w:hAnsi="Arial" w:cs="Arial"/>
          <w:color w:val="231F20"/>
          <w:sz w:val="24"/>
          <w:szCs w:val="24"/>
        </w:rPr>
        <w:t>.”.</w:t>
      </w:r>
    </w:p>
    <w:p w:rsidR="00606492" w:rsidRDefault="00606492" w:rsidP="00935C06">
      <w:pPr>
        <w:autoSpaceDE w:val="0"/>
        <w:autoSpaceDN w:val="0"/>
        <w:adjustRightInd w:val="0"/>
        <w:spacing w:after="0" w:line="240" w:lineRule="auto"/>
        <w:jc w:val="both"/>
        <w:rPr>
          <w:rFonts w:ascii="Arial" w:hAnsi="Arial" w:cs="Arial"/>
          <w:color w:val="231F20"/>
          <w:sz w:val="24"/>
          <w:szCs w:val="24"/>
        </w:rPr>
      </w:pPr>
    </w:p>
    <w:p w:rsidR="00EC3113" w:rsidRDefault="00EC3113" w:rsidP="00935C06">
      <w:pPr>
        <w:autoSpaceDE w:val="0"/>
        <w:autoSpaceDN w:val="0"/>
        <w:adjustRightInd w:val="0"/>
        <w:spacing w:after="0" w:line="240" w:lineRule="auto"/>
        <w:jc w:val="both"/>
        <w:rPr>
          <w:rFonts w:ascii="Arial" w:hAnsi="Arial" w:cs="Arial"/>
          <w:color w:val="231F20"/>
          <w:sz w:val="24"/>
          <w:szCs w:val="24"/>
        </w:rPr>
      </w:pPr>
    </w:p>
    <w:p w:rsidR="00EC3113" w:rsidRDefault="00EC3113" w:rsidP="00EC3113">
      <w:pPr>
        <w:pStyle w:val="NormalWeb"/>
        <w:pBdr>
          <w:top w:val="single" w:sz="4" w:space="1" w:color="auto"/>
          <w:bottom w:val="single" w:sz="4" w:space="1" w:color="auto"/>
        </w:pBdr>
        <w:jc w:val="center"/>
      </w:pPr>
      <w:r>
        <w:rPr>
          <w:rStyle w:val="Strong"/>
        </w:rPr>
        <w:t>Deduction in respect of capital expenditure on specified business</w:t>
      </w:r>
    </w:p>
    <w:p w:rsidR="00EC3113" w:rsidRPr="00EC3113" w:rsidRDefault="00EC3113" w:rsidP="00EC3113">
      <w:pPr>
        <w:spacing w:before="100" w:beforeAutospacing="1" w:after="100" w:afterAutospacing="1" w:line="240" w:lineRule="auto"/>
        <w:jc w:val="both"/>
        <w:rPr>
          <w:rFonts w:ascii="Arial" w:eastAsia="Times New Roman" w:hAnsi="Arial" w:cs="Arial"/>
          <w:sz w:val="24"/>
          <w:szCs w:val="24"/>
        </w:rPr>
      </w:pPr>
      <w:r w:rsidRPr="00EC3113">
        <w:rPr>
          <w:rFonts w:ascii="Arial" w:eastAsia="Times New Roman" w:hAnsi="Arial" w:cs="Arial"/>
          <w:b/>
          <w:bCs/>
          <w:sz w:val="24"/>
          <w:szCs w:val="24"/>
        </w:rPr>
        <w:t>I</w:t>
      </w:r>
      <w:r w:rsidRPr="00EC3113">
        <w:rPr>
          <w:rFonts w:ascii="Arial" w:eastAsia="Times New Roman" w:hAnsi="Arial" w:cs="Arial"/>
          <w:sz w:val="24"/>
          <w:szCs w:val="24"/>
        </w:rPr>
        <w:t>. Under the existing provisions of section 35AD of the Act, investment-linked tax incentive is provided by way of allowing a deduction in respect of the whole of any expenditure of capital nature (other than expenditure on land, goodwill and financial instrument) incurred wholly and exclusively, for the purposes of the “specified business” during the previous year in which such expenditure is incurred. Currently, the following “specified businesses” are eligible for availing the investment-linked deduction under section 35AD as enumerated in clause (c) of sub-section (8) of the said section:-</w:t>
      </w:r>
    </w:p>
    <w:p w:rsidR="00EC3113" w:rsidRPr="00EC3113" w:rsidRDefault="00EC3113" w:rsidP="00EC3113">
      <w:pPr>
        <w:spacing w:before="100" w:beforeAutospacing="1" w:after="100" w:afterAutospacing="1" w:line="240" w:lineRule="auto"/>
        <w:jc w:val="both"/>
        <w:rPr>
          <w:rFonts w:ascii="Arial" w:eastAsia="Times New Roman" w:hAnsi="Arial" w:cs="Arial"/>
          <w:sz w:val="24"/>
          <w:szCs w:val="24"/>
        </w:rPr>
      </w:pPr>
      <w:r w:rsidRPr="00EC3113">
        <w:rPr>
          <w:rFonts w:ascii="Arial" w:eastAsia="Times New Roman" w:hAnsi="Arial" w:cs="Arial"/>
          <w:sz w:val="24"/>
          <w:szCs w:val="24"/>
        </w:rPr>
        <w:t>     (</w:t>
      </w:r>
      <w:proofErr w:type="spellStart"/>
      <w:r w:rsidRPr="00EC3113">
        <w:rPr>
          <w:rFonts w:ascii="Arial" w:eastAsia="Times New Roman" w:hAnsi="Arial" w:cs="Arial"/>
          <w:sz w:val="24"/>
          <w:szCs w:val="24"/>
        </w:rPr>
        <w:t>i</w:t>
      </w:r>
      <w:proofErr w:type="spellEnd"/>
      <w:r w:rsidRPr="00EC3113">
        <w:rPr>
          <w:rFonts w:ascii="Arial" w:eastAsia="Times New Roman" w:hAnsi="Arial" w:cs="Arial"/>
          <w:sz w:val="24"/>
          <w:szCs w:val="24"/>
        </w:rPr>
        <w:t>) setting up and operating a cold chain facility;</w:t>
      </w:r>
    </w:p>
    <w:p w:rsidR="00EC3113" w:rsidRPr="00EC3113" w:rsidRDefault="00EC3113" w:rsidP="00EC3113">
      <w:pPr>
        <w:spacing w:before="100" w:beforeAutospacing="1" w:after="100" w:afterAutospacing="1" w:line="240" w:lineRule="auto"/>
        <w:jc w:val="both"/>
        <w:rPr>
          <w:rFonts w:ascii="Arial" w:eastAsia="Times New Roman" w:hAnsi="Arial" w:cs="Arial"/>
          <w:sz w:val="24"/>
          <w:szCs w:val="24"/>
        </w:rPr>
      </w:pPr>
      <w:r w:rsidRPr="00EC3113">
        <w:rPr>
          <w:rFonts w:ascii="Arial" w:eastAsia="Times New Roman" w:hAnsi="Arial" w:cs="Arial"/>
          <w:sz w:val="24"/>
          <w:szCs w:val="24"/>
        </w:rPr>
        <w:t>     (ii) setting up and operating a warehousing facility for storage of agricultural produce;</w:t>
      </w:r>
    </w:p>
    <w:p w:rsidR="00EC3113" w:rsidRPr="00EC3113" w:rsidRDefault="00EC3113" w:rsidP="00EC3113">
      <w:pPr>
        <w:spacing w:before="100" w:beforeAutospacing="1" w:after="100" w:afterAutospacing="1" w:line="240" w:lineRule="auto"/>
        <w:jc w:val="both"/>
        <w:rPr>
          <w:rFonts w:ascii="Arial" w:eastAsia="Times New Roman" w:hAnsi="Arial" w:cs="Arial"/>
          <w:sz w:val="24"/>
          <w:szCs w:val="24"/>
        </w:rPr>
      </w:pPr>
      <w:r w:rsidRPr="00EC3113">
        <w:rPr>
          <w:rFonts w:ascii="Arial" w:eastAsia="Times New Roman" w:hAnsi="Arial" w:cs="Arial"/>
          <w:sz w:val="24"/>
          <w:szCs w:val="24"/>
        </w:rPr>
        <w:t>      (iii) laying and operating a cross-country natural gas or crude or petroleum oil pipeline network for distribution, including storage facilities being an integral part of such network;</w:t>
      </w:r>
    </w:p>
    <w:p w:rsidR="00EC3113" w:rsidRPr="00EC3113" w:rsidRDefault="00EC3113" w:rsidP="00EC3113">
      <w:pPr>
        <w:spacing w:before="100" w:beforeAutospacing="1" w:after="100" w:afterAutospacing="1" w:line="240" w:lineRule="auto"/>
        <w:jc w:val="both"/>
        <w:rPr>
          <w:rFonts w:ascii="Arial" w:eastAsia="Times New Roman" w:hAnsi="Arial" w:cs="Arial"/>
          <w:sz w:val="24"/>
          <w:szCs w:val="24"/>
        </w:rPr>
      </w:pPr>
      <w:r w:rsidRPr="00EC3113">
        <w:rPr>
          <w:rFonts w:ascii="Arial" w:eastAsia="Times New Roman" w:hAnsi="Arial" w:cs="Arial"/>
          <w:sz w:val="24"/>
          <w:szCs w:val="24"/>
        </w:rPr>
        <w:t>      (iv) building and operating, anywhere in India, a hotel of two-star or above category as classified by the Central Government;</w:t>
      </w:r>
    </w:p>
    <w:p w:rsidR="00EC3113" w:rsidRPr="00EC3113" w:rsidRDefault="00EC3113" w:rsidP="00EC3113">
      <w:pPr>
        <w:spacing w:before="100" w:beforeAutospacing="1" w:after="100" w:afterAutospacing="1" w:line="240" w:lineRule="auto"/>
        <w:jc w:val="both"/>
        <w:rPr>
          <w:rFonts w:ascii="Arial" w:eastAsia="Times New Roman" w:hAnsi="Arial" w:cs="Arial"/>
          <w:sz w:val="24"/>
          <w:szCs w:val="24"/>
        </w:rPr>
      </w:pPr>
      <w:r w:rsidRPr="00EC3113">
        <w:rPr>
          <w:rFonts w:ascii="Arial" w:eastAsia="Times New Roman" w:hAnsi="Arial" w:cs="Arial"/>
          <w:sz w:val="24"/>
          <w:szCs w:val="24"/>
        </w:rPr>
        <w:t>      (v) building and operating, anywhere in India, a hospital with at least one hundred beds for patients;</w:t>
      </w:r>
    </w:p>
    <w:p w:rsidR="00EC3113" w:rsidRPr="00EC3113" w:rsidRDefault="00EC3113" w:rsidP="00EC3113">
      <w:pPr>
        <w:spacing w:before="100" w:beforeAutospacing="1" w:after="100" w:afterAutospacing="1" w:line="240" w:lineRule="auto"/>
        <w:jc w:val="both"/>
        <w:rPr>
          <w:rFonts w:ascii="Arial" w:eastAsia="Times New Roman" w:hAnsi="Arial" w:cs="Arial"/>
          <w:sz w:val="24"/>
          <w:szCs w:val="24"/>
        </w:rPr>
      </w:pPr>
      <w:r w:rsidRPr="00EC3113">
        <w:rPr>
          <w:rFonts w:ascii="Arial" w:eastAsia="Times New Roman" w:hAnsi="Arial" w:cs="Arial"/>
          <w:sz w:val="24"/>
          <w:szCs w:val="24"/>
        </w:rPr>
        <w:t>      (vi) developing and building a housing project under a scheme for slum redevelopment or rehabilitation, framed by the Central Government or a State Government, as the case may be, and notified by the Board in accordance with the prescribed guidelines;</w:t>
      </w:r>
    </w:p>
    <w:p w:rsidR="00EC3113" w:rsidRPr="00EC3113" w:rsidRDefault="00EC3113" w:rsidP="00EC3113">
      <w:pPr>
        <w:spacing w:before="100" w:beforeAutospacing="1" w:after="100" w:afterAutospacing="1" w:line="240" w:lineRule="auto"/>
        <w:jc w:val="both"/>
        <w:rPr>
          <w:rFonts w:ascii="Arial" w:eastAsia="Times New Roman" w:hAnsi="Arial" w:cs="Arial"/>
          <w:sz w:val="24"/>
          <w:szCs w:val="24"/>
        </w:rPr>
      </w:pPr>
      <w:r w:rsidRPr="00EC3113">
        <w:rPr>
          <w:rFonts w:ascii="Arial" w:eastAsia="Times New Roman" w:hAnsi="Arial" w:cs="Arial"/>
          <w:sz w:val="24"/>
          <w:szCs w:val="24"/>
        </w:rPr>
        <w:lastRenderedPageBreak/>
        <w:t>      (vii) developing and building a housing project under a scheme for affordable housing framed by the Central Government or a State Government, as the case may be, and notified by the Board in accordance with the prescribed guidelines;</w:t>
      </w:r>
    </w:p>
    <w:p w:rsidR="00EC3113" w:rsidRPr="00EC3113" w:rsidRDefault="00EC3113" w:rsidP="00EC3113">
      <w:pPr>
        <w:spacing w:before="100" w:beforeAutospacing="1" w:after="100" w:afterAutospacing="1" w:line="240" w:lineRule="auto"/>
        <w:jc w:val="both"/>
        <w:rPr>
          <w:rFonts w:ascii="Arial" w:eastAsia="Times New Roman" w:hAnsi="Arial" w:cs="Arial"/>
          <w:sz w:val="24"/>
          <w:szCs w:val="24"/>
        </w:rPr>
      </w:pPr>
      <w:r w:rsidRPr="00EC3113">
        <w:rPr>
          <w:rFonts w:ascii="Arial" w:eastAsia="Times New Roman" w:hAnsi="Arial" w:cs="Arial"/>
          <w:sz w:val="24"/>
          <w:szCs w:val="24"/>
        </w:rPr>
        <w:t>      (viii) production of fertilizer in India;</w:t>
      </w:r>
    </w:p>
    <w:p w:rsidR="00EC3113" w:rsidRPr="00EC3113" w:rsidRDefault="00EC3113" w:rsidP="00EC3113">
      <w:pPr>
        <w:spacing w:before="100" w:beforeAutospacing="1" w:after="100" w:afterAutospacing="1" w:line="240" w:lineRule="auto"/>
        <w:jc w:val="both"/>
        <w:rPr>
          <w:rFonts w:ascii="Arial" w:eastAsia="Times New Roman" w:hAnsi="Arial" w:cs="Arial"/>
          <w:sz w:val="24"/>
          <w:szCs w:val="24"/>
        </w:rPr>
      </w:pPr>
      <w:r w:rsidRPr="00EC3113">
        <w:rPr>
          <w:rFonts w:ascii="Arial" w:eastAsia="Times New Roman" w:hAnsi="Arial" w:cs="Arial"/>
          <w:sz w:val="24"/>
          <w:szCs w:val="24"/>
        </w:rPr>
        <w:t>      (ix) setting up and operating an inland container depot or a container freight station notified or approved under the Customs Act, 1962;</w:t>
      </w:r>
    </w:p>
    <w:p w:rsidR="00EC3113" w:rsidRPr="00EC3113" w:rsidRDefault="00EC3113" w:rsidP="00EC3113">
      <w:pPr>
        <w:spacing w:before="100" w:beforeAutospacing="1" w:after="100" w:afterAutospacing="1" w:line="240" w:lineRule="auto"/>
        <w:jc w:val="both"/>
        <w:rPr>
          <w:rFonts w:ascii="Arial" w:eastAsia="Times New Roman" w:hAnsi="Arial" w:cs="Arial"/>
          <w:sz w:val="24"/>
          <w:szCs w:val="24"/>
        </w:rPr>
      </w:pPr>
      <w:r w:rsidRPr="00EC3113">
        <w:rPr>
          <w:rFonts w:ascii="Arial" w:eastAsia="Times New Roman" w:hAnsi="Arial" w:cs="Arial"/>
          <w:sz w:val="24"/>
          <w:szCs w:val="24"/>
        </w:rPr>
        <w:t>      (x) bee-keeping and production of honey and beeswax; and</w:t>
      </w:r>
    </w:p>
    <w:p w:rsidR="00EC3113" w:rsidRPr="00EC3113" w:rsidRDefault="00EC3113" w:rsidP="00EC3113">
      <w:pPr>
        <w:spacing w:before="100" w:beforeAutospacing="1" w:after="100" w:afterAutospacing="1" w:line="240" w:lineRule="auto"/>
        <w:jc w:val="both"/>
        <w:rPr>
          <w:rFonts w:ascii="Arial" w:eastAsia="Times New Roman" w:hAnsi="Arial" w:cs="Arial"/>
          <w:sz w:val="24"/>
          <w:szCs w:val="24"/>
        </w:rPr>
      </w:pPr>
      <w:r w:rsidRPr="00EC3113">
        <w:rPr>
          <w:rFonts w:ascii="Arial" w:eastAsia="Times New Roman" w:hAnsi="Arial" w:cs="Arial"/>
          <w:sz w:val="24"/>
          <w:szCs w:val="24"/>
        </w:rPr>
        <w:t>      (xi) setting up and operating a warehousing facility for storage of sugar;</w:t>
      </w:r>
    </w:p>
    <w:p w:rsidR="00EC3113" w:rsidRPr="00EC3113" w:rsidRDefault="00EC3113" w:rsidP="00EC3113">
      <w:pPr>
        <w:spacing w:before="100" w:beforeAutospacing="1" w:after="100" w:afterAutospacing="1" w:line="240" w:lineRule="auto"/>
        <w:jc w:val="both"/>
        <w:rPr>
          <w:rFonts w:ascii="Arial" w:eastAsia="Times New Roman" w:hAnsi="Arial" w:cs="Arial"/>
          <w:sz w:val="24"/>
          <w:szCs w:val="24"/>
        </w:rPr>
      </w:pPr>
      <w:r w:rsidRPr="00EC3113">
        <w:rPr>
          <w:rFonts w:ascii="Arial" w:eastAsia="Times New Roman" w:hAnsi="Arial" w:cs="Arial"/>
          <w:sz w:val="24"/>
          <w:szCs w:val="24"/>
        </w:rPr>
        <w:t>     It is proposed to include two new businesses as “specified business” for the purposes of the investment-linked deduction under section 35AD so as to promote investment in these sectors, which are :-</w:t>
      </w:r>
    </w:p>
    <w:p w:rsidR="00EC3113" w:rsidRPr="00EC3113" w:rsidRDefault="00EC3113" w:rsidP="00EC3113">
      <w:pPr>
        <w:spacing w:before="100" w:beforeAutospacing="1" w:after="100" w:afterAutospacing="1" w:line="240" w:lineRule="auto"/>
        <w:jc w:val="both"/>
        <w:rPr>
          <w:rFonts w:ascii="Arial" w:eastAsia="Times New Roman" w:hAnsi="Arial" w:cs="Arial"/>
          <w:sz w:val="24"/>
          <w:szCs w:val="24"/>
        </w:rPr>
      </w:pPr>
      <w:r w:rsidRPr="00EC3113">
        <w:rPr>
          <w:rFonts w:ascii="Arial" w:eastAsia="Times New Roman" w:hAnsi="Arial" w:cs="Arial"/>
          <w:sz w:val="24"/>
          <w:szCs w:val="24"/>
        </w:rPr>
        <w:t>      (a) laying and operating a slurry pipeline for the transportation of iron ore;</w:t>
      </w:r>
    </w:p>
    <w:p w:rsidR="00EC3113" w:rsidRPr="00EC3113" w:rsidRDefault="00EC3113" w:rsidP="00EC3113">
      <w:pPr>
        <w:spacing w:before="100" w:beforeAutospacing="1" w:after="100" w:afterAutospacing="1" w:line="240" w:lineRule="auto"/>
        <w:jc w:val="both"/>
        <w:rPr>
          <w:rFonts w:ascii="Arial" w:eastAsia="Times New Roman" w:hAnsi="Arial" w:cs="Arial"/>
          <w:sz w:val="24"/>
          <w:szCs w:val="24"/>
        </w:rPr>
      </w:pPr>
      <w:r w:rsidRPr="00EC3113">
        <w:rPr>
          <w:rFonts w:ascii="Arial" w:eastAsia="Times New Roman" w:hAnsi="Arial" w:cs="Arial"/>
          <w:sz w:val="24"/>
          <w:szCs w:val="24"/>
        </w:rPr>
        <w:t>      (b) setting up and operating a semiconductor wafer fabrication manufacturing unit, if such unit is notified by the Board in accordance with the prescribed guidelines.</w:t>
      </w:r>
    </w:p>
    <w:p w:rsidR="00EC3113" w:rsidRPr="00EC3113" w:rsidRDefault="00EC3113" w:rsidP="00EC3113">
      <w:pPr>
        <w:spacing w:before="100" w:beforeAutospacing="1" w:after="100" w:afterAutospacing="1" w:line="240" w:lineRule="auto"/>
        <w:jc w:val="both"/>
        <w:rPr>
          <w:rFonts w:ascii="Arial" w:eastAsia="Times New Roman" w:hAnsi="Arial" w:cs="Arial"/>
          <w:sz w:val="24"/>
          <w:szCs w:val="24"/>
        </w:rPr>
      </w:pPr>
      <w:r w:rsidRPr="00EC3113">
        <w:rPr>
          <w:rFonts w:ascii="Arial" w:eastAsia="Times New Roman" w:hAnsi="Arial" w:cs="Arial"/>
          <w:sz w:val="24"/>
          <w:szCs w:val="24"/>
        </w:rPr>
        <w:t>     It is also proposed to provide that the date of commencement of operations for availing investment linked deduction in respect of the two new specified businesses shall be on or after 1st April, 2014.</w:t>
      </w:r>
    </w:p>
    <w:p w:rsidR="00EC3113" w:rsidRPr="00EC3113" w:rsidRDefault="00EC3113" w:rsidP="00EC3113">
      <w:pPr>
        <w:spacing w:before="100" w:beforeAutospacing="1" w:after="100" w:afterAutospacing="1" w:line="240" w:lineRule="auto"/>
        <w:jc w:val="both"/>
        <w:rPr>
          <w:rFonts w:ascii="Arial" w:eastAsia="Times New Roman" w:hAnsi="Arial" w:cs="Arial"/>
          <w:sz w:val="24"/>
          <w:szCs w:val="24"/>
        </w:rPr>
      </w:pPr>
      <w:r w:rsidRPr="00EC3113">
        <w:rPr>
          <w:rFonts w:ascii="Arial" w:eastAsia="Times New Roman" w:hAnsi="Arial" w:cs="Arial"/>
          <w:b/>
          <w:bCs/>
          <w:sz w:val="24"/>
          <w:szCs w:val="24"/>
        </w:rPr>
        <w:t>II</w:t>
      </w:r>
      <w:r w:rsidRPr="00EC3113">
        <w:rPr>
          <w:rFonts w:ascii="Arial" w:eastAsia="Times New Roman" w:hAnsi="Arial" w:cs="Arial"/>
          <w:sz w:val="24"/>
          <w:szCs w:val="24"/>
        </w:rPr>
        <w:t>. The existing provisions of section 35AD do not provide for a specific time period for which capital assets on which the deduction has been claimed and allowed, are to be used for the specified business. With a view to ensure that the capital asset on which investment linked deduction has been claimed is used for the purposes of the specified business, it is proposed to insert sub-section (7A) in section 35AD to provide that any asset in respect of which a deduction is claimed and allowed under section 35AD, shall be used only for the specified business for a period of eight years beginning with the previous year in which such asset is acquired or constructed.</w:t>
      </w:r>
    </w:p>
    <w:p w:rsidR="00EC3113" w:rsidRPr="00EC3113" w:rsidRDefault="00EC3113" w:rsidP="00EC3113">
      <w:pPr>
        <w:spacing w:before="100" w:beforeAutospacing="1" w:after="100" w:afterAutospacing="1" w:line="240" w:lineRule="auto"/>
        <w:jc w:val="both"/>
        <w:rPr>
          <w:rFonts w:ascii="Arial" w:eastAsia="Times New Roman" w:hAnsi="Arial" w:cs="Arial"/>
          <w:sz w:val="24"/>
          <w:szCs w:val="24"/>
        </w:rPr>
      </w:pPr>
      <w:r w:rsidRPr="00EC3113">
        <w:rPr>
          <w:rFonts w:ascii="Arial" w:eastAsia="Times New Roman" w:hAnsi="Arial" w:cs="Arial"/>
          <w:sz w:val="24"/>
          <w:szCs w:val="24"/>
        </w:rPr>
        <w:t xml:space="preserve">     If any asset on which a deduction under section 35AD has been allowed, is demolished, destroyed, discarded or transferred, the sum received or receivable for the same is chargeable to tax under clause (vii) of section 28. This does not take into account a case where asset on which deduction under section 35AD has been claimed is used for any purpose other than the specified business by way of a mode other than that specified above. Accordingly, it is proposed to insert sub-section (7B) to provide that if such asset is used for any purpose other than the specified business, the total amount of deduction so claimed and allowed in any previous year in respect of such asset, as reduced by the amount of depreciation allowable in accordance with the provisions of section 32 as if no deduction had been allowed under section 35AD, shall </w:t>
      </w:r>
      <w:r w:rsidRPr="00EC3113">
        <w:rPr>
          <w:rFonts w:ascii="Arial" w:eastAsia="Times New Roman" w:hAnsi="Arial" w:cs="Arial"/>
          <w:sz w:val="24"/>
          <w:szCs w:val="24"/>
        </w:rPr>
        <w:lastRenderedPageBreak/>
        <w:t xml:space="preserve">be deemed to be income of the </w:t>
      </w:r>
      <w:proofErr w:type="spellStart"/>
      <w:r w:rsidRPr="00EC3113">
        <w:rPr>
          <w:rFonts w:ascii="Arial" w:eastAsia="Times New Roman" w:hAnsi="Arial" w:cs="Arial"/>
          <w:sz w:val="24"/>
          <w:szCs w:val="24"/>
        </w:rPr>
        <w:t>assesse</w:t>
      </w:r>
      <w:proofErr w:type="spellEnd"/>
      <w:r w:rsidRPr="00EC3113">
        <w:rPr>
          <w:rFonts w:ascii="Arial" w:eastAsia="Times New Roman" w:hAnsi="Arial" w:cs="Arial"/>
          <w:sz w:val="24"/>
          <w:szCs w:val="24"/>
        </w:rPr>
        <w:t xml:space="preserve"> chargeable under the head “Profits and gains of business or profession” of the previous year in which the asset is so used.</w:t>
      </w:r>
    </w:p>
    <w:p w:rsidR="00EC3113" w:rsidRPr="00EC3113" w:rsidRDefault="00EC3113" w:rsidP="00EC3113">
      <w:pPr>
        <w:spacing w:before="100" w:beforeAutospacing="1" w:after="100" w:afterAutospacing="1" w:line="240" w:lineRule="auto"/>
        <w:jc w:val="both"/>
        <w:rPr>
          <w:rFonts w:ascii="Arial" w:eastAsia="Times New Roman" w:hAnsi="Arial" w:cs="Arial"/>
          <w:sz w:val="24"/>
          <w:szCs w:val="24"/>
        </w:rPr>
      </w:pPr>
      <w:r w:rsidRPr="00EC3113">
        <w:rPr>
          <w:rFonts w:ascii="Arial" w:eastAsia="Times New Roman" w:hAnsi="Arial" w:cs="Arial"/>
          <w:sz w:val="24"/>
          <w:szCs w:val="24"/>
        </w:rPr>
        <w:t>     Example:</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8618"/>
        <w:gridCol w:w="772"/>
      </w:tblGrid>
      <w:tr w:rsidR="00EC3113" w:rsidRPr="00EC3113" w:rsidTr="00EC311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EC3113" w:rsidRPr="00EC3113" w:rsidRDefault="00EC3113" w:rsidP="00EC3113">
            <w:pPr>
              <w:spacing w:before="100" w:beforeAutospacing="1" w:after="100" w:afterAutospacing="1" w:line="240" w:lineRule="auto"/>
              <w:jc w:val="both"/>
              <w:rPr>
                <w:rFonts w:ascii="Arial" w:eastAsia="Times New Roman" w:hAnsi="Arial" w:cs="Arial"/>
                <w:sz w:val="24"/>
                <w:szCs w:val="24"/>
              </w:rPr>
            </w:pPr>
            <w:r w:rsidRPr="00EC3113">
              <w:rPr>
                <w:rFonts w:ascii="Arial" w:eastAsia="Times New Roman" w:hAnsi="Arial" w:cs="Arial"/>
                <w:sz w:val="24"/>
                <w:szCs w:val="24"/>
              </w:rPr>
              <w:t>Deduction claimed under section 35AD on a capital asset</w:t>
            </w:r>
          </w:p>
        </w:tc>
        <w:tc>
          <w:tcPr>
            <w:tcW w:w="0" w:type="auto"/>
            <w:tcBorders>
              <w:top w:val="outset" w:sz="6" w:space="0" w:color="auto"/>
              <w:left w:val="outset" w:sz="6" w:space="0" w:color="auto"/>
              <w:bottom w:val="outset" w:sz="6" w:space="0" w:color="auto"/>
              <w:right w:val="outset" w:sz="6" w:space="0" w:color="auto"/>
            </w:tcBorders>
            <w:vAlign w:val="center"/>
            <w:hideMark/>
          </w:tcPr>
          <w:p w:rsidR="00EC3113" w:rsidRPr="00EC3113" w:rsidRDefault="00EC3113" w:rsidP="00EC3113">
            <w:pPr>
              <w:spacing w:before="100" w:beforeAutospacing="1" w:after="100" w:afterAutospacing="1" w:line="240" w:lineRule="auto"/>
              <w:jc w:val="both"/>
              <w:rPr>
                <w:rFonts w:ascii="Arial" w:eastAsia="Times New Roman" w:hAnsi="Arial" w:cs="Arial"/>
                <w:sz w:val="24"/>
                <w:szCs w:val="24"/>
              </w:rPr>
            </w:pPr>
            <w:r w:rsidRPr="00EC3113">
              <w:rPr>
                <w:rFonts w:ascii="Arial" w:eastAsia="Times New Roman" w:hAnsi="Arial" w:cs="Arial"/>
                <w:sz w:val="24"/>
                <w:szCs w:val="24"/>
              </w:rPr>
              <w:t xml:space="preserve">: </w:t>
            </w:r>
            <w:r w:rsidRPr="00EC3113">
              <w:rPr>
                <w:rFonts w:ascii="Times New Roman" w:eastAsia="Times New Roman" w:hAnsi="Times New Roman" w:cs="Arial"/>
                <w:sz w:val="24"/>
                <w:szCs w:val="24"/>
              </w:rPr>
              <w:t>₹</w:t>
            </w:r>
            <w:r w:rsidRPr="00EC3113">
              <w:rPr>
                <w:rFonts w:ascii="Arial" w:eastAsia="Times New Roman" w:hAnsi="Arial" w:cs="Arial"/>
                <w:sz w:val="24"/>
                <w:szCs w:val="24"/>
              </w:rPr>
              <w:t xml:space="preserve"> 100</w:t>
            </w:r>
          </w:p>
        </w:tc>
      </w:tr>
      <w:tr w:rsidR="00EC3113" w:rsidRPr="00EC3113" w:rsidTr="00EC311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EC3113" w:rsidRPr="00EC3113" w:rsidRDefault="00EC3113" w:rsidP="00EC3113">
            <w:pPr>
              <w:spacing w:before="100" w:beforeAutospacing="1" w:after="100" w:afterAutospacing="1" w:line="240" w:lineRule="auto"/>
              <w:jc w:val="both"/>
              <w:rPr>
                <w:rFonts w:ascii="Arial" w:eastAsia="Times New Roman" w:hAnsi="Arial" w:cs="Arial"/>
                <w:sz w:val="24"/>
                <w:szCs w:val="24"/>
              </w:rPr>
            </w:pPr>
            <w:r w:rsidRPr="00EC3113">
              <w:rPr>
                <w:rFonts w:ascii="Arial" w:eastAsia="Times New Roman" w:hAnsi="Arial" w:cs="Arial"/>
                <w:sz w:val="24"/>
                <w:szCs w:val="24"/>
              </w:rPr>
              <w:t>Depreciation eligible on such asset under section 32</w:t>
            </w:r>
          </w:p>
        </w:tc>
        <w:tc>
          <w:tcPr>
            <w:tcW w:w="0" w:type="auto"/>
            <w:tcBorders>
              <w:top w:val="outset" w:sz="6" w:space="0" w:color="auto"/>
              <w:left w:val="outset" w:sz="6" w:space="0" w:color="auto"/>
              <w:bottom w:val="outset" w:sz="6" w:space="0" w:color="auto"/>
              <w:right w:val="outset" w:sz="6" w:space="0" w:color="auto"/>
            </w:tcBorders>
            <w:vAlign w:val="center"/>
            <w:hideMark/>
          </w:tcPr>
          <w:p w:rsidR="00EC3113" w:rsidRPr="00EC3113" w:rsidRDefault="00EC3113" w:rsidP="00EC3113">
            <w:pPr>
              <w:spacing w:before="100" w:beforeAutospacing="1" w:after="100" w:afterAutospacing="1" w:line="240" w:lineRule="auto"/>
              <w:jc w:val="both"/>
              <w:rPr>
                <w:rFonts w:ascii="Arial" w:eastAsia="Times New Roman" w:hAnsi="Arial" w:cs="Arial"/>
                <w:sz w:val="24"/>
                <w:szCs w:val="24"/>
              </w:rPr>
            </w:pPr>
            <w:r w:rsidRPr="00EC3113">
              <w:rPr>
                <w:rFonts w:ascii="Arial" w:eastAsia="Times New Roman" w:hAnsi="Arial" w:cs="Arial"/>
                <w:sz w:val="24"/>
                <w:szCs w:val="24"/>
              </w:rPr>
              <w:t xml:space="preserve">: </w:t>
            </w:r>
            <w:r w:rsidRPr="00EC3113">
              <w:rPr>
                <w:rFonts w:ascii="Times New Roman" w:eastAsia="Times New Roman" w:hAnsi="Times New Roman" w:cs="Arial"/>
                <w:sz w:val="24"/>
                <w:szCs w:val="24"/>
              </w:rPr>
              <w:t>₹</w:t>
            </w:r>
            <w:r w:rsidRPr="00EC3113">
              <w:rPr>
                <w:rFonts w:ascii="Arial" w:eastAsia="Times New Roman" w:hAnsi="Arial" w:cs="Arial"/>
                <w:sz w:val="24"/>
                <w:szCs w:val="24"/>
              </w:rPr>
              <w:t xml:space="preserve"> 15</w:t>
            </w:r>
          </w:p>
        </w:tc>
      </w:tr>
      <w:tr w:rsidR="00EC3113" w:rsidRPr="00EC3113" w:rsidTr="00EC311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EC3113" w:rsidRPr="00EC3113" w:rsidRDefault="00EC3113" w:rsidP="00EC3113">
            <w:pPr>
              <w:spacing w:before="100" w:beforeAutospacing="1" w:after="100" w:afterAutospacing="1" w:line="240" w:lineRule="auto"/>
              <w:jc w:val="both"/>
              <w:rPr>
                <w:rFonts w:ascii="Arial" w:eastAsia="Times New Roman" w:hAnsi="Arial" w:cs="Arial"/>
                <w:sz w:val="24"/>
                <w:szCs w:val="24"/>
              </w:rPr>
            </w:pPr>
            <w:r w:rsidRPr="00EC3113">
              <w:rPr>
                <w:rFonts w:ascii="Arial" w:eastAsia="Times New Roman" w:hAnsi="Arial" w:cs="Arial"/>
                <w:sz w:val="24"/>
                <w:szCs w:val="24"/>
              </w:rPr>
              <w:t>Profit chargeable to tax in accordance with the proposed sub-section (7B) of section 35AD</w:t>
            </w:r>
          </w:p>
        </w:tc>
        <w:tc>
          <w:tcPr>
            <w:tcW w:w="0" w:type="auto"/>
            <w:tcBorders>
              <w:top w:val="outset" w:sz="6" w:space="0" w:color="auto"/>
              <w:left w:val="outset" w:sz="6" w:space="0" w:color="auto"/>
              <w:bottom w:val="outset" w:sz="6" w:space="0" w:color="auto"/>
              <w:right w:val="outset" w:sz="6" w:space="0" w:color="auto"/>
            </w:tcBorders>
            <w:vAlign w:val="center"/>
            <w:hideMark/>
          </w:tcPr>
          <w:p w:rsidR="00EC3113" w:rsidRPr="00EC3113" w:rsidRDefault="00EC3113" w:rsidP="00EC3113">
            <w:pPr>
              <w:spacing w:before="100" w:beforeAutospacing="1" w:after="100" w:afterAutospacing="1" w:line="240" w:lineRule="auto"/>
              <w:jc w:val="both"/>
              <w:rPr>
                <w:rFonts w:ascii="Arial" w:eastAsia="Times New Roman" w:hAnsi="Arial" w:cs="Arial"/>
                <w:sz w:val="24"/>
                <w:szCs w:val="24"/>
              </w:rPr>
            </w:pPr>
            <w:r w:rsidRPr="00EC3113">
              <w:rPr>
                <w:rFonts w:ascii="Arial" w:eastAsia="Times New Roman" w:hAnsi="Arial" w:cs="Arial"/>
                <w:sz w:val="24"/>
                <w:szCs w:val="24"/>
              </w:rPr>
              <w:t xml:space="preserve">: </w:t>
            </w:r>
            <w:r w:rsidRPr="00EC3113">
              <w:rPr>
                <w:rFonts w:ascii="Times New Roman" w:eastAsia="Times New Roman" w:hAnsi="Times New Roman" w:cs="Arial"/>
                <w:sz w:val="24"/>
                <w:szCs w:val="24"/>
              </w:rPr>
              <w:t>₹</w:t>
            </w:r>
            <w:r w:rsidRPr="00EC3113">
              <w:rPr>
                <w:rFonts w:ascii="Arial" w:eastAsia="Times New Roman" w:hAnsi="Arial" w:cs="Arial"/>
                <w:sz w:val="24"/>
                <w:szCs w:val="24"/>
              </w:rPr>
              <w:t xml:space="preserve"> 85</w:t>
            </w:r>
          </w:p>
        </w:tc>
      </w:tr>
    </w:tbl>
    <w:p w:rsidR="00EC3113" w:rsidRPr="00EC3113" w:rsidRDefault="00EC3113" w:rsidP="00EC3113">
      <w:pPr>
        <w:spacing w:before="100" w:beforeAutospacing="1" w:after="100" w:afterAutospacing="1" w:line="240" w:lineRule="auto"/>
        <w:jc w:val="both"/>
        <w:rPr>
          <w:rFonts w:ascii="Arial" w:eastAsia="Times New Roman" w:hAnsi="Arial" w:cs="Arial"/>
          <w:sz w:val="24"/>
          <w:szCs w:val="24"/>
        </w:rPr>
      </w:pPr>
      <w:r w:rsidRPr="00EC3113">
        <w:rPr>
          <w:rFonts w:ascii="Arial" w:eastAsia="Times New Roman" w:hAnsi="Arial" w:cs="Arial"/>
          <w:sz w:val="24"/>
          <w:szCs w:val="24"/>
        </w:rPr>
        <w:t>     The provisions contained in the proposed sub-section (7B) of the said section would, however, not apply to a company which has become a sick industrial company under sub-section (1) of section 17 of the Sick Industrial Companies (Special Provisions) Act, 1985 within the time period specified in sub-section (7A).</w:t>
      </w:r>
    </w:p>
    <w:p w:rsidR="00EC3113" w:rsidRPr="00EC3113" w:rsidRDefault="00EC3113" w:rsidP="00EC3113">
      <w:pPr>
        <w:spacing w:before="100" w:beforeAutospacing="1" w:after="100" w:afterAutospacing="1" w:line="240" w:lineRule="auto"/>
        <w:jc w:val="both"/>
        <w:rPr>
          <w:rFonts w:ascii="Arial" w:eastAsia="Times New Roman" w:hAnsi="Arial" w:cs="Arial"/>
          <w:sz w:val="24"/>
          <w:szCs w:val="24"/>
        </w:rPr>
      </w:pPr>
      <w:r w:rsidRPr="00EC3113">
        <w:rPr>
          <w:rFonts w:ascii="Arial" w:eastAsia="Times New Roman" w:hAnsi="Arial" w:cs="Arial"/>
          <w:b/>
          <w:bCs/>
          <w:sz w:val="24"/>
          <w:szCs w:val="24"/>
        </w:rPr>
        <w:t>III</w:t>
      </w:r>
      <w:r w:rsidRPr="00EC3113">
        <w:rPr>
          <w:rFonts w:ascii="Arial" w:eastAsia="Times New Roman" w:hAnsi="Arial" w:cs="Arial"/>
          <w:sz w:val="24"/>
          <w:szCs w:val="24"/>
        </w:rPr>
        <w:t xml:space="preserve">. The existing provisions of sub-section (3) of the aforesaid section provide that where any </w:t>
      </w:r>
      <w:proofErr w:type="spellStart"/>
      <w:r w:rsidRPr="00EC3113">
        <w:rPr>
          <w:rFonts w:ascii="Arial" w:eastAsia="Times New Roman" w:hAnsi="Arial" w:cs="Arial"/>
          <w:sz w:val="24"/>
          <w:szCs w:val="24"/>
        </w:rPr>
        <w:t>assessee</w:t>
      </w:r>
      <w:proofErr w:type="spellEnd"/>
      <w:r w:rsidRPr="00EC3113">
        <w:rPr>
          <w:rFonts w:ascii="Arial" w:eastAsia="Times New Roman" w:hAnsi="Arial" w:cs="Arial"/>
          <w:sz w:val="24"/>
          <w:szCs w:val="24"/>
        </w:rPr>
        <w:t xml:space="preserve"> has claimed a deduction under this section, no deduction shall be allowed under the provisions of Chapter VIA for the same or any other assessment year. As section 10AA also provides for profit linked deduction in respect of units set-up in Special Economic Zones, it is proposed to amend section 35AD so as to provide that where any deduction has been availed of by the </w:t>
      </w:r>
      <w:proofErr w:type="spellStart"/>
      <w:r w:rsidRPr="00EC3113">
        <w:rPr>
          <w:rFonts w:ascii="Arial" w:eastAsia="Times New Roman" w:hAnsi="Arial" w:cs="Arial"/>
          <w:sz w:val="24"/>
          <w:szCs w:val="24"/>
        </w:rPr>
        <w:t>assessee</w:t>
      </w:r>
      <w:proofErr w:type="spellEnd"/>
      <w:r w:rsidRPr="00EC3113">
        <w:rPr>
          <w:rFonts w:ascii="Arial" w:eastAsia="Times New Roman" w:hAnsi="Arial" w:cs="Arial"/>
          <w:sz w:val="24"/>
          <w:szCs w:val="24"/>
        </w:rPr>
        <w:t xml:space="preserve"> on account of capital expenditure incurred for the purposes of specified business in any assessment year, no deduction under section 10AA shall be available to the </w:t>
      </w:r>
      <w:proofErr w:type="spellStart"/>
      <w:r w:rsidRPr="00EC3113">
        <w:rPr>
          <w:rFonts w:ascii="Arial" w:eastAsia="Times New Roman" w:hAnsi="Arial" w:cs="Arial"/>
          <w:sz w:val="24"/>
          <w:szCs w:val="24"/>
        </w:rPr>
        <w:t>assessee</w:t>
      </w:r>
      <w:proofErr w:type="spellEnd"/>
      <w:r w:rsidRPr="00EC3113">
        <w:rPr>
          <w:rFonts w:ascii="Arial" w:eastAsia="Times New Roman" w:hAnsi="Arial" w:cs="Arial"/>
          <w:sz w:val="24"/>
          <w:szCs w:val="24"/>
        </w:rPr>
        <w:t xml:space="preserve"> in the same or any other assessment year in respect of such specified business.</w:t>
      </w:r>
    </w:p>
    <w:p w:rsidR="00EC3113" w:rsidRPr="00EC3113" w:rsidRDefault="00EC3113" w:rsidP="00EC3113">
      <w:pPr>
        <w:spacing w:before="100" w:beforeAutospacing="1" w:after="100" w:afterAutospacing="1" w:line="240" w:lineRule="auto"/>
        <w:jc w:val="both"/>
        <w:rPr>
          <w:rFonts w:ascii="Arial" w:eastAsia="Times New Roman" w:hAnsi="Arial" w:cs="Arial"/>
          <w:sz w:val="24"/>
          <w:szCs w:val="24"/>
        </w:rPr>
      </w:pPr>
      <w:r w:rsidRPr="00EC3113">
        <w:rPr>
          <w:rFonts w:ascii="Arial" w:eastAsia="Times New Roman" w:hAnsi="Arial" w:cs="Arial"/>
          <w:sz w:val="24"/>
          <w:szCs w:val="24"/>
        </w:rPr>
        <w:t>     As a consequence of this amendment, section 10AA is also proposed to be amended so as to provide that no deduction under section 35AD shall be available in any assessment year to a specified business which has claimed and availed of deduction under section 10AA in the same or any other assessment year.</w:t>
      </w:r>
    </w:p>
    <w:p w:rsidR="00EC3113" w:rsidRPr="00EC3113" w:rsidRDefault="00EC3113" w:rsidP="00EC3113">
      <w:pPr>
        <w:spacing w:before="100" w:beforeAutospacing="1" w:after="100" w:afterAutospacing="1" w:line="240" w:lineRule="auto"/>
        <w:jc w:val="both"/>
        <w:rPr>
          <w:rFonts w:ascii="Arial" w:eastAsia="Times New Roman" w:hAnsi="Arial" w:cs="Arial"/>
          <w:sz w:val="24"/>
          <w:szCs w:val="24"/>
        </w:rPr>
      </w:pPr>
      <w:r w:rsidRPr="00EC3113">
        <w:rPr>
          <w:rFonts w:ascii="Arial" w:eastAsia="Times New Roman" w:hAnsi="Arial" w:cs="Arial"/>
          <w:sz w:val="24"/>
          <w:szCs w:val="24"/>
        </w:rPr>
        <w:t>     These amendments will take effect from 1st April, 2015 and will, accordingly, apply in relation to the assessment year 2015-16 and subsequent assessment years.</w:t>
      </w:r>
    </w:p>
    <w:p w:rsidR="00EC3113" w:rsidRDefault="00EC3113" w:rsidP="00EC3113">
      <w:pPr>
        <w:pBdr>
          <w:bottom w:val="single" w:sz="4" w:space="1" w:color="auto"/>
        </w:pBdr>
        <w:autoSpaceDE w:val="0"/>
        <w:autoSpaceDN w:val="0"/>
        <w:adjustRightInd w:val="0"/>
        <w:spacing w:after="0" w:line="240" w:lineRule="auto"/>
        <w:jc w:val="both"/>
        <w:rPr>
          <w:rFonts w:ascii="Arial" w:hAnsi="Arial" w:cs="Arial"/>
          <w:color w:val="231F20"/>
          <w:sz w:val="24"/>
          <w:szCs w:val="24"/>
        </w:rPr>
      </w:pPr>
    </w:p>
    <w:p w:rsidR="00EC3113" w:rsidRPr="00EC3113" w:rsidRDefault="00EC3113" w:rsidP="00EC3113">
      <w:pPr>
        <w:rPr>
          <w:rFonts w:ascii="Arial" w:hAnsi="Arial" w:cs="Arial"/>
          <w:sz w:val="24"/>
          <w:szCs w:val="24"/>
        </w:rPr>
      </w:pPr>
    </w:p>
    <w:sectPr w:rsidR="00EC3113" w:rsidRPr="00EC3113" w:rsidSect="005015BD">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4F2A" w:rsidRDefault="00FB4F2A" w:rsidP="00606492">
      <w:pPr>
        <w:spacing w:after="0" w:line="240" w:lineRule="auto"/>
      </w:pPr>
      <w:r>
        <w:separator/>
      </w:r>
    </w:p>
  </w:endnote>
  <w:endnote w:type="continuationSeparator" w:id="0">
    <w:p w:rsidR="00FB4F2A" w:rsidRDefault="00FB4F2A" w:rsidP="006064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4F2A" w:rsidRDefault="00FB4F2A" w:rsidP="00606492">
      <w:pPr>
        <w:spacing w:after="0" w:line="240" w:lineRule="auto"/>
      </w:pPr>
      <w:r>
        <w:separator/>
      </w:r>
    </w:p>
  </w:footnote>
  <w:footnote w:type="continuationSeparator" w:id="0">
    <w:p w:rsidR="00FB4F2A" w:rsidRDefault="00FB4F2A" w:rsidP="0060649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2910FA"/>
    <w:multiLevelType w:val="hybridMultilevel"/>
    <w:tmpl w:val="4A5E6E9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9B7B9C"/>
    <w:multiLevelType w:val="hybridMultilevel"/>
    <w:tmpl w:val="22B6E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82548B2"/>
    <w:multiLevelType w:val="hybridMultilevel"/>
    <w:tmpl w:val="A1ACB99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AD71784"/>
    <w:multiLevelType w:val="hybridMultilevel"/>
    <w:tmpl w:val="AD9E13B4"/>
    <w:lvl w:ilvl="0" w:tplc="C1F66C28">
      <w:start w:val="1"/>
      <w:numFmt w:val="upperLetter"/>
      <w:lvlText w:val="(%1)"/>
      <w:lvlJc w:val="left"/>
      <w:pPr>
        <w:ind w:left="810" w:hanging="45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A703308"/>
    <w:multiLevelType w:val="hybridMultilevel"/>
    <w:tmpl w:val="CDDC1EFE"/>
    <w:lvl w:ilvl="0" w:tplc="F98CFF04">
      <w:start w:val="1"/>
      <w:numFmt w:val="lowerLetter"/>
      <w:lvlText w:val="(%1)"/>
      <w:lvlJc w:val="left"/>
      <w:pPr>
        <w:ind w:left="780" w:hanging="4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30D2E3B"/>
    <w:multiLevelType w:val="hybridMultilevel"/>
    <w:tmpl w:val="B4D02F74"/>
    <w:lvl w:ilvl="0" w:tplc="9904BA28">
      <w:start w:val="1"/>
      <w:numFmt w:val="low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5732776"/>
    <w:multiLevelType w:val="hybridMultilevel"/>
    <w:tmpl w:val="7A42D61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85E7088"/>
    <w:multiLevelType w:val="hybridMultilevel"/>
    <w:tmpl w:val="F856B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B902774"/>
    <w:multiLevelType w:val="hybridMultilevel"/>
    <w:tmpl w:val="045A52E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C5344C3"/>
    <w:multiLevelType w:val="hybridMultilevel"/>
    <w:tmpl w:val="A71C4802"/>
    <w:lvl w:ilvl="0" w:tplc="0409000F">
      <w:start w:val="1"/>
      <w:numFmt w:val="decimal"/>
      <w:lvlText w:val="%1."/>
      <w:lvlJc w:val="left"/>
      <w:pPr>
        <w:ind w:left="783" w:hanging="360"/>
      </w:p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num w:numId="1">
    <w:abstractNumId w:val="1"/>
  </w:num>
  <w:num w:numId="2">
    <w:abstractNumId w:val="4"/>
  </w:num>
  <w:num w:numId="3">
    <w:abstractNumId w:val="8"/>
  </w:num>
  <w:num w:numId="4">
    <w:abstractNumId w:val="5"/>
  </w:num>
  <w:num w:numId="5">
    <w:abstractNumId w:val="7"/>
  </w:num>
  <w:num w:numId="6">
    <w:abstractNumId w:val="2"/>
  </w:num>
  <w:num w:numId="7">
    <w:abstractNumId w:val="0"/>
  </w:num>
  <w:num w:numId="8">
    <w:abstractNumId w:val="9"/>
  </w:num>
  <w:num w:numId="9">
    <w:abstractNumId w:val="6"/>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20"/>
  <w:characterSpacingControl w:val="doNotCompress"/>
  <w:footnotePr>
    <w:footnote w:id="-1"/>
    <w:footnote w:id="0"/>
  </w:footnotePr>
  <w:endnotePr>
    <w:endnote w:id="-1"/>
    <w:endnote w:id="0"/>
  </w:endnotePr>
  <w:compat/>
  <w:rsids>
    <w:rsidRoot w:val="00935C06"/>
    <w:rsid w:val="003A3B4B"/>
    <w:rsid w:val="005015BD"/>
    <w:rsid w:val="00606492"/>
    <w:rsid w:val="00935C06"/>
    <w:rsid w:val="00A24B2A"/>
    <w:rsid w:val="00AE28F0"/>
    <w:rsid w:val="00E277A2"/>
    <w:rsid w:val="00EC3113"/>
    <w:rsid w:val="00FB4F2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15B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06492"/>
    <w:pPr>
      <w:ind w:left="720"/>
      <w:contextualSpacing/>
    </w:pPr>
  </w:style>
  <w:style w:type="paragraph" w:styleId="NormalWeb">
    <w:name w:val="Normal (Web)"/>
    <w:basedOn w:val="Normal"/>
    <w:uiPriority w:val="99"/>
    <w:unhideWhenUsed/>
    <w:rsid w:val="00EC311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C3113"/>
    <w:rPr>
      <w:b/>
      <w:bCs/>
    </w:rPr>
  </w:style>
</w:styles>
</file>

<file path=word/webSettings.xml><?xml version="1.0" encoding="utf-8"?>
<w:webSettings xmlns:r="http://schemas.openxmlformats.org/officeDocument/2006/relationships" xmlns:w="http://schemas.openxmlformats.org/wordprocessingml/2006/main">
  <w:divs>
    <w:div w:id="960376910">
      <w:bodyDiv w:val="1"/>
      <w:marLeft w:val="0"/>
      <w:marRight w:val="0"/>
      <w:marTop w:val="0"/>
      <w:marBottom w:val="0"/>
      <w:divBdr>
        <w:top w:val="none" w:sz="0" w:space="0" w:color="auto"/>
        <w:left w:val="none" w:sz="0" w:space="0" w:color="auto"/>
        <w:bottom w:val="none" w:sz="0" w:space="0" w:color="auto"/>
        <w:right w:val="none" w:sz="0" w:space="0" w:color="auto"/>
      </w:divBdr>
    </w:div>
    <w:div w:id="173893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4</Pages>
  <Words>1374</Words>
  <Characters>7838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Kashish</dc:creator>
  <cp:lastModifiedBy>Kashish</cp:lastModifiedBy>
  <cp:revision>3</cp:revision>
  <dcterms:created xsi:type="dcterms:W3CDTF">2014-07-16T06:53:00Z</dcterms:created>
  <dcterms:modified xsi:type="dcterms:W3CDTF">2014-07-16T11:32:00Z</dcterms:modified>
</cp:coreProperties>
</file>